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6D7" w:rsidRPr="000417C1" w:rsidRDefault="009D6B98" w:rsidP="00307262">
      <w:pPr>
        <w:pStyle w:val="DocumentDate"/>
      </w:pPr>
      <w:r>
        <w:t xml:space="preserve"> </w:t>
      </w:r>
      <w:r w:rsidR="00CE702A" w:rsidRPr="000417C1">
        <w:t>Paper 000/00</w:t>
      </w:r>
      <w:r w:rsidR="00CE702A" w:rsidRPr="000417C1">
        <w:tab/>
      </w:r>
      <w:r w:rsidR="00FC6B05">
        <w:t>10</w:t>
      </w:r>
      <w:r w:rsidR="00680DDC" w:rsidRPr="000417C1">
        <w:t xml:space="preserve"> </w:t>
      </w:r>
      <w:r w:rsidR="00784817">
        <w:t>November</w:t>
      </w:r>
      <w:r w:rsidR="00680DDC" w:rsidRPr="000417C1">
        <w:t xml:space="preserve"> 20</w:t>
      </w:r>
      <w:r w:rsidR="00784817">
        <w:t>15</w:t>
      </w:r>
      <w:r w:rsidR="00FC6B05">
        <w:tab/>
        <w:t xml:space="preserve">NIAR </w:t>
      </w:r>
      <w:r w:rsidR="001A5C3F">
        <w:t>628</w:t>
      </w:r>
      <w:r w:rsidR="00FC6B05">
        <w:t>-</w:t>
      </w:r>
      <w:r w:rsidR="001A5C3F">
        <w:t>2015</w:t>
      </w:r>
    </w:p>
    <w:p w:rsidR="00307262" w:rsidRDefault="00307262" w:rsidP="00E02216">
      <w:pPr>
        <w:pStyle w:val="DocumentAuthors"/>
        <w:sectPr w:rsidR="00307262" w:rsidSect="00307262">
          <w:headerReference w:type="default" r:id="rId9"/>
          <w:footerReference w:type="even" r:id="rId10"/>
          <w:footerReference w:type="default" r:id="rId11"/>
          <w:type w:val="continuous"/>
          <w:pgSz w:w="11906" w:h="16838" w:code="9"/>
          <w:pgMar w:top="5670" w:right="1418" w:bottom="1418" w:left="1418" w:header="567" w:footer="567" w:gutter="0"/>
          <w:pgNumType w:start="1"/>
          <w:cols w:space="708"/>
          <w:docGrid w:linePitch="360"/>
        </w:sectPr>
      </w:pPr>
    </w:p>
    <w:p w:rsidR="0093362C" w:rsidRDefault="00784817" w:rsidP="00E02216">
      <w:pPr>
        <w:pStyle w:val="DocumentAuthors"/>
      </w:pPr>
      <w:r>
        <w:lastRenderedPageBreak/>
        <w:t xml:space="preserve">John </w:t>
      </w:r>
      <w:proofErr w:type="spellStart"/>
      <w:r>
        <w:t>McCaul</w:t>
      </w:r>
      <w:proofErr w:type="spellEnd"/>
    </w:p>
    <w:p w:rsidR="001340EA" w:rsidRDefault="00A9274D" w:rsidP="00192697">
      <w:pPr>
        <w:pStyle w:val="DocumentTitle"/>
      </w:pPr>
      <w:r>
        <w:t>Disciplinary procedures and the role of lay</w:t>
      </w:r>
      <w:r w:rsidR="001B4F55">
        <w:t xml:space="preserve"> </w:t>
      </w:r>
      <w:r>
        <w:t>persons and professional members</w:t>
      </w:r>
      <w:r w:rsidR="00784817">
        <w:t xml:space="preserve"> in selected non-legal professions</w:t>
      </w:r>
    </w:p>
    <w:p w:rsidR="00192697" w:rsidRPr="00192697" w:rsidRDefault="00192697" w:rsidP="00192697">
      <w:pPr>
        <w:pStyle w:val="DocumentOutline"/>
        <w:rPr>
          <w:lang w:val="en-US"/>
        </w:rPr>
      </w:pPr>
    </w:p>
    <w:p w:rsidR="008B5790" w:rsidRPr="00D30D0A" w:rsidRDefault="008B5790" w:rsidP="008B5790">
      <w:pPr>
        <w:pStyle w:val="H2Heading"/>
      </w:pPr>
      <w:r>
        <w:t>1</w:t>
      </w:r>
      <w:r>
        <w:tab/>
      </w:r>
      <w:r w:rsidR="003B70DC">
        <w:t>Introduction</w:t>
      </w:r>
    </w:p>
    <w:p w:rsidR="00891CCD" w:rsidRDefault="003B70DC" w:rsidP="00083F47">
      <w:pPr>
        <w:pStyle w:val="B1BodyText"/>
      </w:pPr>
      <w:r>
        <w:t>This briefing paper has been written in response to a request from the Committee for Finance and Personnel regarding the arrangements within non-legal professions in terms of best practice relating to the role of lay persons and professional members of disciplinary or complaints committees.</w:t>
      </w:r>
      <w:r w:rsidR="00FB31DD">
        <w:t xml:space="preserve"> Professions examined in this briefing paper include accountancy, medicine and social care. </w:t>
      </w:r>
      <w:r>
        <w:t>This document also looks at how these arrangements compare to the provisions as proposed in the Legal Complaints and Regulation Bill</w:t>
      </w:r>
      <w:r w:rsidR="000D4634">
        <w:t xml:space="preserve"> (the Bill)</w:t>
      </w:r>
      <w:r>
        <w:t>.</w:t>
      </w:r>
      <w:r w:rsidR="00FB31DD">
        <w:t xml:space="preserve"> </w:t>
      </w:r>
      <w:r w:rsidR="00192697">
        <w:t xml:space="preserve">Lastly, this paper concludes with a summary of key points and observations for the reader to consider. </w:t>
      </w:r>
    </w:p>
    <w:p w:rsidR="000C2490" w:rsidRDefault="000C2490" w:rsidP="00192697">
      <w:pPr>
        <w:pStyle w:val="B1BodyText"/>
        <w:ind w:left="0"/>
      </w:pPr>
    </w:p>
    <w:p w:rsidR="00BA7693" w:rsidRPr="001340EA" w:rsidRDefault="00891CCD" w:rsidP="001340EA">
      <w:pPr>
        <w:pStyle w:val="H1SectionHead"/>
      </w:pPr>
      <w:r>
        <w:lastRenderedPageBreak/>
        <w:t xml:space="preserve">2    </w:t>
      </w:r>
      <w:r w:rsidR="00BA7693">
        <w:t>List of Abbreviations</w:t>
      </w:r>
    </w:p>
    <w:p w:rsidR="00BA7693" w:rsidRDefault="00BA7693" w:rsidP="00BA7693">
      <w:pPr>
        <w:pStyle w:val="B1BodyText"/>
        <w:rPr>
          <w:b/>
        </w:rPr>
      </w:pPr>
      <w:r>
        <w:rPr>
          <w:b/>
        </w:rPr>
        <w:t xml:space="preserve">CAI- </w:t>
      </w:r>
      <w:r w:rsidRPr="00BA7693">
        <w:t>Chartered Accountants Ireland</w:t>
      </w:r>
      <w:r>
        <w:rPr>
          <w:b/>
        </w:rPr>
        <w:t xml:space="preserve"> </w:t>
      </w:r>
    </w:p>
    <w:p w:rsidR="00BA7693" w:rsidRDefault="00BA7693" w:rsidP="00BA7693">
      <w:pPr>
        <w:pStyle w:val="B1BodyText"/>
      </w:pPr>
      <w:r w:rsidRPr="00BA7693">
        <w:rPr>
          <w:b/>
        </w:rPr>
        <w:t>CARB-</w:t>
      </w:r>
      <w:r>
        <w:t xml:space="preserve"> Chartered Accountants Regulatory Board</w:t>
      </w:r>
    </w:p>
    <w:p w:rsidR="00BA7693" w:rsidRDefault="00BA7693" w:rsidP="00BA7693">
      <w:pPr>
        <w:pStyle w:val="B1BodyText"/>
      </w:pPr>
      <w:r>
        <w:rPr>
          <w:b/>
        </w:rPr>
        <w:t>CCW-</w:t>
      </w:r>
      <w:r>
        <w:t xml:space="preserve"> Care Council for Wales</w:t>
      </w:r>
    </w:p>
    <w:p w:rsidR="00BA7693" w:rsidRDefault="00BA7693" w:rsidP="00BA7693">
      <w:pPr>
        <w:pStyle w:val="B1BodyText"/>
      </w:pPr>
      <w:r>
        <w:rPr>
          <w:b/>
        </w:rPr>
        <w:t xml:space="preserve">FTTP- </w:t>
      </w:r>
      <w:r w:rsidRPr="00BA7693">
        <w:t>Fitness to Practice Panel</w:t>
      </w:r>
    </w:p>
    <w:p w:rsidR="00BA7693" w:rsidRDefault="00BA7693" w:rsidP="00BA7693">
      <w:pPr>
        <w:pStyle w:val="B1BodyText"/>
      </w:pPr>
      <w:r>
        <w:rPr>
          <w:b/>
        </w:rPr>
        <w:t xml:space="preserve">GMC- </w:t>
      </w:r>
      <w:r w:rsidRPr="00BA7693">
        <w:t>General Medical Council</w:t>
      </w:r>
      <w:r>
        <w:rPr>
          <w:b/>
        </w:rPr>
        <w:t xml:space="preserve"> </w:t>
      </w:r>
    </w:p>
    <w:p w:rsidR="00BA7693" w:rsidRDefault="00BA7693" w:rsidP="00BA7693">
      <w:pPr>
        <w:pStyle w:val="B1BodyText"/>
      </w:pPr>
      <w:r>
        <w:rPr>
          <w:b/>
        </w:rPr>
        <w:t>HCPC-</w:t>
      </w:r>
      <w:r>
        <w:t xml:space="preserve"> Health and Care Professions Council  </w:t>
      </w:r>
    </w:p>
    <w:p w:rsidR="00BA7693" w:rsidRDefault="00BA7693" w:rsidP="00BA7693">
      <w:pPr>
        <w:pStyle w:val="B1BodyText"/>
      </w:pPr>
      <w:r>
        <w:rPr>
          <w:b/>
        </w:rPr>
        <w:t>HPC-</w:t>
      </w:r>
      <w:r>
        <w:t xml:space="preserve"> Head of Professional Conduct</w:t>
      </w:r>
    </w:p>
    <w:p w:rsidR="006926E7" w:rsidRDefault="006926E7" w:rsidP="00BA7693">
      <w:pPr>
        <w:pStyle w:val="B1BodyText"/>
      </w:pPr>
      <w:r>
        <w:rPr>
          <w:b/>
        </w:rPr>
        <w:t>IC-</w:t>
      </w:r>
      <w:r>
        <w:t xml:space="preserve"> Investigating Committee</w:t>
      </w:r>
    </w:p>
    <w:p w:rsidR="00BA7693" w:rsidRDefault="00BA7693" w:rsidP="00BA7693">
      <w:pPr>
        <w:pStyle w:val="B1BodyText"/>
      </w:pPr>
      <w:r>
        <w:rPr>
          <w:b/>
        </w:rPr>
        <w:t>ICAEW-</w:t>
      </w:r>
      <w:r>
        <w:t xml:space="preserve"> Institute of Chartered Accountants England and Wales</w:t>
      </w:r>
    </w:p>
    <w:p w:rsidR="00BA7693" w:rsidRDefault="00BA7693" w:rsidP="00BA7693">
      <w:pPr>
        <w:pStyle w:val="B1BodyText"/>
      </w:pPr>
      <w:r>
        <w:rPr>
          <w:b/>
        </w:rPr>
        <w:t>ICAS-</w:t>
      </w:r>
      <w:r>
        <w:t xml:space="preserve"> Institute of Chartered Accountants Scotland</w:t>
      </w:r>
    </w:p>
    <w:p w:rsidR="001340EA" w:rsidRDefault="001340EA" w:rsidP="00BA7693">
      <w:pPr>
        <w:pStyle w:val="B1BodyText"/>
      </w:pPr>
      <w:r>
        <w:rPr>
          <w:b/>
        </w:rPr>
        <w:t>IOP-</w:t>
      </w:r>
      <w:r>
        <w:t xml:space="preserve"> Interim Orders Panels</w:t>
      </w:r>
    </w:p>
    <w:p w:rsidR="006926E7" w:rsidRDefault="006926E7" w:rsidP="00BA7693">
      <w:pPr>
        <w:pStyle w:val="B1BodyText"/>
      </w:pPr>
      <w:r w:rsidRPr="006926E7">
        <w:rPr>
          <w:rFonts w:cs="Arial"/>
          <w:b/>
          <w:color w:val="auto"/>
        </w:rPr>
        <w:t>LSOC-</w:t>
      </w:r>
      <w:r>
        <w:rPr>
          <w:rFonts w:cs="Arial"/>
          <w:color w:val="auto"/>
        </w:rPr>
        <w:t xml:space="preserve"> </w:t>
      </w:r>
      <w:r w:rsidRPr="006102C3">
        <w:rPr>
          <w:rFonts w:cs="Arial"/>
          <w:color w:val="auto"/>
        </w:rPr>
        <w:t>Legal Services Oversight Commissioner</w:t>
      </w:r>
    </w:p>
    <w:p w:rsidR="00BA7693" w:rsidRDefault="00BA7693" w:rsidP="00BA7693">
      <w:pPr>
        <w:pStyle w:val="B1BodyText"/>
      </w:pPr>
      <w:r w:rsidRPr="00BA7693">
        <w:rPr>
          <w:rFonts w:cs="Arial"/>
          <w:b/>
          <w:color w:val="auto"/>
        </w:rPr>
        <w:t>MPTS-</w:t>
      </w:r>
      <w:r>
        <w:rPr>
          <w:rFonts w:cs="Arial"/>
          <w:color w:val="auto"/>
        </w:rPr>
        <w:t xml:space="preserve"> </w:t>
      </w:r>
      <w:r w:rsidRPr="006102C3">
        <w:rPr>
          <w:rFonts w:cs="Arial"/>
          <w:color w:val="auto"/>
        </w:rPr>
        <w:t>Medical Practitioners Tribunal Service</w:t>
      </w:r>
      <w:r w:rsidR="006926E7">
        <w:rPr>
          <w:rFonts w:cs="Arial"/>
          <w:color w:val="auto"/>
        </w:rPr>
        <w:t xml:space="preserve"> </w:t>
      </w:r>
    </w:p>
    <w:p w:rsidR="00BA7693" w:rsidRDefault="00BA7693" w:rsidP="00BA7693">
      <w:pPr>
        <w:pStyle w:val="B1BodyText"/>
      </w:pPr>
      <w:r>
        <w:rPr>
          <w:b/>
        </w:rPr>
        <w:t>NISCC-</w:t>
      </w:r>
      <w:r>
        <w:t xml:space="preserve"> Northern Ireland Social Care Council</w:t>
      </w:r>
    </w:p>
    <w:p w:rsidR="001340EA" w:rsidRDefault="001340EA" w:rsidP="00BA7693">
      <w:pPr>
        <w:pStyle w:val="B1BodyText"/>
      </w:pPr>
      <w:r>
        <w:rPr>
          <w:b/>
        </w:rPr>
        <w:t xml:space="preserve">PCC- </w:t>
      </w:r>
      <w:r w:rsidRPr="001340EA">
        <w:t>Professional Conduct Committee</w:t>
      </w:r>
    </w:p>
    <w:p w:rsidR="00BA7693" w:rsidRDefault="00BA7693" w:rsidP="00BA7693">
      <w:pPr>
        <w:pStyle w:val="B1BodyText"/>
      </w:pPr>
      <w:r>
        <w:rPr>
          <w:b/>
        </w:rPr>
        <w:t>PPC-</w:t>
      </w:r>
      <w:r>
        <w:t xml:space="preserve"> Preliminary Proceedings Committee</w:t>
      </w:r>
    </w:p>
    <w:p w:rsidR="00BA7693" w:rsidRDefault="00BA7693" w:rsidP="00BA7693">
      <w:pPr>
        <w:pStyle w:val="B1BodyText"/>
      </w:pPr>
      <w:r>
        <w:rPr>
          <w:b/>
        </w:rPr>
        <w:t>SSSC-</w:t>
      </w:r>
      <w:r>
        <w:t xml:space="preserve"> Scottish Social Services Council</w:t>
      </w:r>
    </w:p>
    <w:p w:rsidR="00BA7693" w:rsidRDefault="00BA7693" w:rsidP="00BA7693">
      <w:pPr>
        <w:pStyle w:val="B1BodyText"/>
      </w:pPr>
      <w:r>
        <w:rPr>
          <w:b/>
        </w:rPr>
        <w:t>UK-</w:t>
      </w:r>
      <w:r>
        <w:t xml:space="preserve"> United Kingdom</w:t>
      </w:r>
    </w:p>
    <w:p w:rsidR="00891CCD" w:rsidRPr="00BA7693" w:rsidRDefault="00BA7693" w:rsidP="00BA7693">
      <w:pPr>
        <w:pStyle w:val="H1SectionHead"/>
      </w:pPr>
      <w:r w:rsidRPr="00BA7693">
        <w:t xml:space="preserve">3 </w:t>
      </w:r>
      <w:r>
        <w:t xml:space="preserve">   </w:t>
      </w:r>
      <w:r w:rsidR="00891CCD" w:rsidRPr="00BA7693">
        <w:t xml:space="preserve">Accountancy </w:t>
      </w:r>
    </w:p>
    <w:p w:rsidR="000C2490" w:rsidRPr="00BA7693" w:rsidRDefault="00F2252A" w:rsidP="00BA7693">
      <w:pPr>
        <w:pStyle w:val="B1BodyText"/>
      </w:pPr>
      <w:r>
        <w:t>With regard to the accountancy profession, this paper studies the</w:t>
      </w:r>
      <w:r w:rsidR="00022AD1">
        <w:t xml:space="preserve"> role of lay</w:t>
      </w:r>
      <w:r w:rsidR="001B4F55">
        <w:t xml:space="preserve"> </w:t>
      </w:r>
      <w:r w:rsidR="00022AD1">
        <w:t xml:space="preserve">persons and professionals in the disciplinary arrangements of </w:t>
      </w:r>
      <w:r w:rsidR="000D4634">
        <w:t>one All-Ireland institution and two</w:t>
      </w:r>
      <w:r w:rsidR="00D83E2D">
        <w:t xml:space="preserve"> principal United Kingdom (UK) </w:t>
      </w:r>
      <w:r w:rsidR="000D4634">
        <w:t>organisations</w:t>
      </w:r>
      <w:r>
        <w:t>- Chartered Accountants Ireland (CAI), Institute of Chartered Accountants Scotland (ICAS)</w:t>
      </w:r>
      <w:r w:rsidR="00D83E2D">
        <w:t xml:space="preserve"> and the </w:t>
      </w:r>
      <w:r>
        <w:t>Institute of Chartered Accountants England and Wales (ICAEW)</w:t>
      </w:r>
      <w:r w:rsidR="00D83E2D">
        <w:t xml:space="preserve">. </w:t>
      </w:r>
    </w:p>
    <w:p w:rsidR="0018014F" w:rsidRDefault="0018014F" w:rsidP="00083F47">
      <w:pPr>
        <w:pStyle w:val="B1BodyText"/>
        <w:rPr>
          <w:b/>
        </w:rPr>
      </w:pPr>
      <w:r>
        <w:rPr>
          <w:b/>
        </w:rPr>
        <w:t xml:space="preserve">Chartered Accountants Ireland </w:t>
      </w:r>
    </w:p>
    <w:p w:rsidR="0018014F" w:rsidRPr="0018014F" w:rsidRDefault="0018014F" w:rsidP="00083F47">
      <w:pPr>
        <w:pStyle w:val="B1BodyText"/>
      </w:pPr>
      <w:r>
        <w:t xml:space="preserve">Chartered Accountants Ireland is regulated by the Chartered Accountants Regulatory Board (CARB) </w:t>
      </w:r>
      <w:r w:rsidR="00683BCC">
        <w:t>‘with the provisions of its Bye-laws, independently, openly and in the public interest.’</w:t>
      </w:r>
      <w:r w:rsidR="00E83B86">
        <w:t xml:space="preserve"> In total there are 12 board members, 5 accountants and 7 non-</w:t>
      </w:r>
      <w:r w:rsidR="00E83B86">
        <w:lastRenderedPageBreak/>
        <w:t>accountants.</w:t>
      </w:r>
      <w:r w:rsidR="000D4634">
        <w:rPr>
          <w:rStyle w:val="FootnoteReference"/>
        </w:rPr>
        <w:footnoteReference w:id="1"/>
      </w:r>
      <w:r w:rsidR="00E83B86">
        <w:t xml:space="preserve"> </w:t>
      </w:r>
      <w:r w:rsidR="001C5F15">
        <w:t>Figure 1 illustrates CARB’s disciplinary process</w:t>
      </w:r>
      <w:r w:rsidR="004D18A8">
        <w:t xml:space="preserve"> bar the role of the new conduct committee. It is also worth noting that</w:t>
      </w:r>
      <w:r w:rsidR="00D51795">
        <w:t xml:space="preserve"> on Monday 5 October 2015 new Disciplinary Bye-Laws, new Disciplinary Regulations and amended Principal Bye-Laws</w:t>
      </w:r>
      <w:r w:rsidR="0031747C">
        <w:t xml:space="preserve"> came into operation. CARB notes that ‘a</w:t>
      </w:r>
      <w:r w:rsidR="0031747C" w:rsidRPr="0031747C">
        <w:t>ll complaints and disciplinary matters will be handled in accordance with the new rules but it is the Disciplinary Bye-Laws which were in effect at the time the matter in question arose which will determine whether liability to disciplinary action arises.</w:t>
      </w:r>
      <w:r w:rsidR="0031747C">
        <w:t>’</w:t>
      </w:r>
      <w:r w:rsidR="000D4634">
        <w:rPr>
          <w:rStyle w:val="FootnoteReference"/>
        </w:rPr>
        <w:footnoteReference w:id="2"/>
      </w:r>
      <w:r w:rsidR="0031747C">
        <w:t xml:space="preserve"> </w:t>
      </w:r>
    </w:p>
    <w:p w:rsidR="000C2490" w:rsidRDefault="000C2490" w:rsidP="000C2490">
      <w:pPr>
        <w:pStyle w:val="Default"/>
        <w:rPr>
          <w:rFonts w:cs="ITC Stone Sans Std Medium"/>
          <w:b/>
          <w:sz w:val="22"/>
        </w:rPr>
      </w:pPr>
    </w:p>
    <w:p w:rsidR="00C23596" w:rsidRPr="000C2490" w:rsidRDefault="000C2490" w:rsidP="000C2490">
      <w:pPr>
        <w:pStyle w:val="Default"/>
        <w:rPr>
          <w:sz w:val="22"/>
          <w:szCs w:val="22"/>
        </w:rPr>
      </w:pPr>
      <w:r>
        <w:rPr>
          <w:rFonts w:cs="ITC Stone Sans Std Medium"/>
          <w:b/>
          <w:sz w:val="22"/>
        </w:rPr>
        <w:t xml:space="preserve">          </w:t>
      </w:r>
      <w:r w:rsidR="001340EA">
        <w:rPr>
          <w:rFonts w:cs="ITC Stone Sans Std Medium"/>
          <w:b/>
          <w:sz w:val="22"/>
        </w:rPr>
        <w:t xml:space="preserve"> </w:t>
      </w:r>
      <w:r>
        <w:rPr>
          <w:i/>
          <w:color w:val="auto"/>
          <w:sz w:val="22"/>
          <w:szCs w:val="22"/>
        </w:rPr>
        <w:t>T</w:t>
      </w:r>
      <w:r w:rsidR="00C23596" w:rsidRPr="006102C3">
        <w:rPr>
          <w:i/>
          <w:color w:val="auto"/>
          <w:sz w:val="22"/>
          <w:szCs w:val="22"/>
        </w:rPr>
        <w:t>he Executive</w:t>
      </w:r>
      <w:r w:rsidR="00C23596" w:rsidRPr="006102C3">
        <w:rPr>
          <w:color w:val="auto"/>
          <w:sz w:val="22"/>
          <w:szCs w:val="22"/>
        </w:rPr>
        <w:t xml:space="preserve">           </w:t>
      </w:r>
    </w:p>
    <w:p w:rsidR="006102C3" w:rsidRDefault="006102C3" w:rsidP="006102C3">
      <w:pPr>
        <w:pStyle w:val="Default"/>
        <w:spacing w:line="360" w:lineRule="auto"/>
        <w:ind w:left="720"/>
        <w:rPr>
          <w:color w:val="auto"/>
          <w:sz w:val="22"/>
          <w:szCs w:val="22"/>
        </w:rPr>
      </w:pPr>
    </w:p>
    <w:p w:rsidR="00CB525D" w:rsidRPr="006102C3" w:rsidRDefault="005B0ACB" w:rsidP="006102C3">
      <w:pPr>
        <w:pStyle w:val="Default"/>
        <w:spacing w:line="360" w:lineRule="auto"/>
        <w:ind w:left="720"/>
        <w:rPr>
          <w:color w:val="auto"/>
          <w:sz w:val="22"/>
          <w:szCs w:val="22"/>
        </w:rPr>
      </w:pPr>
      <w:r w:rsidRPr="006102C3">
        <w:rPr>
          <w:color w:val="auto"/>
          <w:sz w:val="22"/>
          <w:szCs w:val="22"/>
        </w:rPr>
        <w:t xml:space="preserve">CARB’s disciplinary regulations state that ‘each complaint shall be assessed by the Executive to determine whether it concerns a Disciplinary Matter.’ </w:t>
      </w:r>
      <w:r w:rsidR="004D18A8" w:rsidRPr="006102C3">
        <w:rPr>
          <w:color w:val="auto"/>
          <w:sz w:val="22"/>
          <w:szCs w:val="22"/>
        </w:rPr>
        <w:t xml:space="preserve">The term ‘Executive’ is also defined as ‘the staff of CARB who </w:t>
      </w:r>
      <w:proofErr w:type="gramStart"/>
      <w:r w:rsidR="004D18A8" w:rsidRPr="006102C3">
        <w:rPr>
          <w:color w:val="auto"/>
          <w:sz w:val="22"/>
          <w:szCs w:val="22"/>
        </w:rPr>
        <w:t>assist</w:t>
      </w:r>
      <w:proofErr w:type="gramEnd"/>
      <w:r w:rsidR="004D18A8" w:rsidRPr="006102C3">
        <w:rPr>
          <w:color w:val="auto"/>
          <w:sz w:val="22"/>
          <w:szCs w:val="22"/>
        </w:rPr>
        <w:t xml:space="preserve"> in carrying out the functions of CARB.’</w:t>
      </w:r>
      <w:r w:rsidR="000D4634" w:rsidRPr="006102C3">
        <w:rPr>
          <w:rStyle w:val="FootnoteReference"/>
          <w:color w:val="auto"/>
          <w:sz w:val="22"/>
          <w:szCs w:val="22"/>
        </w:rPr>
        <w:footnoteReference w:id="3"/>
      </w:r>
    </w:p>
    <w:p w:rsidR="00275FF2" w:rsidRPr="006102C3" w:rsidRDefault="00275FF2" w:rsidP="006102C3">
      <w:pPr>
        <w:pStyle w:val="Default"/>
        <w:spacing w:line="360" w:lineRule="auto"/>
        <w:ind w:left="720"/>
        <w:rPr>
          <w:color w:val="auto"/>
          <w:sz w:val="22"/>
          <w:szCs w:val="22"/>
        </w:rPr>
      </w:pPr>
    </w:p>
    <w:p w:rsidR="00275FF2" w:rsidRPr="006102C3" w:rsidRDefault="00275FF2" w:rsidP="006102C3">
      <w:pPr>
        <w:pStyle w:val="Default"/>
        <w:spacing w:line="360" w:lineRule="auto"/>
        <w:ind w:left="720"/>
        <w:rPr>
          <w:i/>
          <w:color w:val="auto"/>
          <w:sz w:val="22"/>
          <w:szCs w:val="22"/>
        </w:rPr>
      </w:pPr>
      <w:r w:rsidRPr="006102C3">
        <w:rPr>
          <w:i/>
          <w:color w:val="auto"/>
          <w:sz w:val="22"/>
          <w:szCs w:val="22"/>
        </w:rPr>
        <w:t xml:space="preserve">CARB Investigator </w:t>
      </w:r>
    </w:p>
    <w:p w:rsidR="00275FF2" w:rsidRPr="006102C3" w:rsidRDefault="00275FF2" w:rsidP="006102C3">
      <w:pPr>
        <w:pStyle w:val="Default"/>
        <w:spacing w:line="360" w:lineRule="auto"/>
        <w:ind w:left="720"/>
        <w:rPr>
          <w:color w:val="auto"/>
          <w:sz w:val="22"/>
          <w:szCs w:val="22"/>
        </w:rPr>
      </w:pPr>
    </w:p>
    <w:p w:rsidR="00CB525D" w:rsidRPr="006102C3" w:rsidRDefault="007974D2" w:rsidP="006102C3">
      <w:pPr>
        <w:pStyle w:val="Default"/>
        <w:spacing w:line="360" w:lineRule="auto"/>
        <w:ind w:left="720"/>
        <w:rPr>
          <w:color w:val="auto"/>
          <w:sz w:val="22"/>
          <w:szCs w:val="22"/>
        </w:rPr>
      </w:pPr>
      <w:r w:rsidRPr="006102C3">
        <w:rPr>
          <w:color w:val="auto"/>
          <w:sz w:val="22"/>
          <w:szCs w:val="22"/>
        </w:rPr>
        <w:t xml:space="preserve">If the complaint is identified as a disciplinary matter </w:t>
      </w:r>
      <w:r w:rsidR="000C0BD6" w:rsidRPr="006102C3">
        <w:rPr>
          <w:color w:val="auto"/>
          <w:sz w:val="22"/>
          <w:szCs w:val="22"/>
        </w:rPr>
        <w:t>it is then scrutinised further by an investigator who ‘may be a member of the Executive and / or an employee of the Institute or a Member.’</w:t>
      </w:r>
      <w:r w:rsidR="000D4634" w:rsidRPr="006102C3">
        <w:rPr>
          <w:rStyle w:val="FootnoteReference"/>
          <w:color w:val="auto"/>
          <w:sz w:val="22"/>
          <w:szCs w:val="22"/>
        </w:rPr>
        <w:footnoteReference w:id="4"/>
      </w:r>
      <w:r w:rsidR="00995B6D" w:rsidRPr="006102C3">
        <w:rPr>
          <w:color w:val="auto"/>
          <w:sz w:val="22"/>
          <w:szCs w:val="22"/>
        </w:rPr>
        <w:t xml:space="preserve"> For CARB, the Head of Professional Conduct</w:t>
      </w:r>
      <w:r w:rsidR="00527C5F" w:rsidRPr="006102C3">
        <w:rPr>
          <w:color w:val="auto"/>
          <w:sz w:val="22"/>
          <w:szCs w:val="22"/>
        </w:rPr>
        <w:t xml:space="preserve"> (HPC)</w:t>
      </w:r>
      <w:r w:rsidR="00995B6D" w:rsidRPr="006102C3">
        <w:rPr>
          <w:color w:val="auto"/>
          <w:sz w:val="22"/>
          <w:szCs w:val="22"/>
        </w:rPr>
        <w:t xml:space="preserve"> still retains ‘overall responsibility for the investigation.’</w:t>
      </w:r>
      <w:r w:rsidR="000D4634" w:rsidRPr="006102C3">
        <w:rPr>
          <w:rStyle w:val="FootnoteReference"/>
          <w:color w:val="auto"/>
          <w:sz w:val="22"/>
          <w:szCs w:val="22"/>
        </w:rPr>
        <w:footnoteReference w:id="5"/>
      </w:r>
      <w:r w:rsidR="00527C5F" w:rsidRPr="006102C3">
        <w:rPr>
          <w:color w:val="auto"/>
          <w:sz w:val="22"/>
          <w:szCs w:val="22"/>
        </w:rPr>
        <w:t xml:space="preserve"> The current HPC</w:t>
      </w:r>
      <w:r w:rsidR="00F60658" w:rsidRPr="006102C3">
        <w:rPr>
          <w:color w:val="auto"/>
          <w:sz w:val="22"/>
          <w:szCs w:val="22"/>
        </w:rPr>
        <w:t xml:space="preserve"> is a barrister although there is no requirement in the disciplinary guidelines for a HPC to be either a layperson or professional</w:t>
      </w:r>
      <w:r w:rsidR="00A14583" w:rsidRPr="006102C3">
        <w:rPr>
          <w:color w:val="auto"/>
          <w:sz w:val="22"/>
          <w:szCs w:val="22"/>
        </w:rPr>
        <w:t>.</w:t>
      </w:r>
      <w:r w:rsidR="00F60658" w:rsidRPr="006102C3">
        <w:rPr>
          <w:color w:val="auto"/>
          <w:sz w:val="22"/>
          <w:szCs w:val="22"/>
        </w:rPr>
        <w:t xml:space="preserve"> It is expected that a future HPC may be a chartered accountant.</w:t>
      </w:r>
      <w:r w:rsidR="00995B6D" w:rsidRPr="006102C3">
        <w:rPr>
          <w:color w:val="auto"/>
          <w:sz w:val="22"/>
          <w:szCs w:val="22"/>
        </w:rPr>
        <w:t xml:space="preserve"> </w:t>
      </w:r>
    </w:p>
    <w:p w:rsidR="00275FF2" w:rsidRPr="006102C3" w:rsidRDefault="00275FF2" w:rsidP="006102C3">
      <w:pPr>
        <w:pStyle w:val="Default"/>
        <w:spacing w:line="360" w:lineRule="auto"/>
        <w:ind w:left="720"/>
        <w:rPr>
          <w:color w:val="auto"/>
          <w:sz w:val="22"/>
          <w:szCs w:val="22"/>
        </w:rPr>
      </w:pPr>
    </w:p>
    <w:p w:rsidR="00275FF2" w:rsidRPr="006102C3" w:rsidRDefault="00275FF2" w:rsidP="006102C3">
      <w:pPr>
        <w:pStyle w:val="Default"/>
        <w:spacing w:line="360" w:lineRule="auto"/>
        <w:ind w:left="720"/>
        <w:rPr>
          <w:i/>
          <w:color w:val="auto"/>
          <w:sz w:val="22"/>
          <w:szCs w:val="22"/>
        </w:rPr>
      </w:pPr>
      <w:r w:rsidRPr="006102C3">
        <w:rPr>
          <w:i/>
          <w:color w:val="auto"/>
          <w:sz w:val="22"/>
          <w:szCs w:val="22"/>
        </w:rPr>
        <w:t>Conduct Committee</w:t>
      </w:r>
    </w:p>
    <w:p w:rsidR="00275FF2" w:rsidRPr="006102C3" w:rsidRDefault="00275FF2" w:rsidP="006102C3">
      <w:pPr>
        <w:pStyle w:val="Default"/>
        <w:spacing w:line="360" w:lineRule="auto"/>
        <w:ind w:left="720"/>
        <w:rPr>
          <w:color w:val="auto"/>
          <w:sz w:val="22"/>
          <w:szCs w:val="22"/>
        </w:rPr>
      </w:pPr>
    </w:p>
    <w:p w:rsidR="001567FE" w:rsidRPr="006102C3" w:rsidRDefault="00527C5F" w:rsidP="006102C3">
      <w:pPr>
        <w:pStyle w:val="Default"/>
        <w:spacing w:line="360" w:lineRule="auto"/>
        <w:ind w:left="720"/>
        <w:rPr>
          <w:color w:val="auto"/>
          <w:sz w:val="22"/>
          <w:szCs w:val="22"/>
        </w:rPr>
      </w:pPr>
      <w:r w:rsidRPr="006102C3">
        <w:rPr>
          <w:color w:val="auto"/>
          <w:sz w:val="22"/>
          <w:szCs w:val="22"/>
        </w:rPr>
        <w:t>If the complaint</w:t>
      </w:r>
      <w:r w:rsidR="003A6BB5" w:rsidRPr="006102C3">
        <w:rPr>
          <w:color w:val="auto"/>
          <w:sz w:val="22"/>
          <w:szCs w:val="22"/>
        </w:rPr>
        <w:t xml:space="preserve"> is not</w:t>
      </w:r>
      <w:r w:rsidR="00A14583" w:rsidRPr="006102C3">
        <w:rPr>
          <w:color w:val="auto"/>
          <w:sz w:val="22"/>
          <w:szCs w:val="22"/>
        </w:rPr>
        <w:t xml:space="preserve"> interpreted as a disciplinary matter</w:t>
      </w:r>
      <w:r w:rsidR="003A6BB5" w:rsidRPr="006102C3">
        <w:rPr>
          <w:color w:val="auto"/>
          <w:sz w:val="22"/>
          <w:szCs w:val="22"/>
        </w:rPr>
        <w:t xml:space="preserve"> and the complainant disagrees with this decision he/she can seek a </w:t>
      </w:r>
      <w:r w:rsidR="001D386A" w:rsidRPr="006102C3">
        <w:rPr>
          <w:color w:val="auto"/>
          <w:sz w:val="22"/>
          <w:szCs w:val="22"/>
        </w:rPr>
        <w:t>decision</w:t>
      </w:r>
      <w:r w:rsidR="003A6BB5" w:rsidRPr="006102C3">
        <w:rPr>
          <w:color w:val="auto"/>
          <w:sz w:val="22"/>
          <w:szCs w:val="22"/>
        </w:rPr>
        <w:t xml:space="preserve"> from the conduct committee</w:t>
      </w:r>
      <w:r w:rsidR="008B3799" w:rsidRPr="006102C3">
        <w:rPr>
          <w:color w:val="auto"/>
          <w:sz w:val="22"/>
          <w:szCs w:val="22"/>
        </w:rPr>
        <w:t xml:space="preserve">. </w:t>
      </w:r>
      <w:r w:rsidR="008B3799" w:rsidRPr="006102C3">
        <w:rPr>
          <w:color w:val="auto"/>
          <w:sz w:val="22"/>
          <w:szCs w:val="22"/>
        </w:rPr>
        <w:lastRenderedPageBreak/>
        <w:t>This committee’s remit particularly concerns scrutiny ‘</w:t>
      </w:r>
      <w:r w:rsidR="00B61267" w:rsidRPr="006102C3">
        <w:rPr>
          <w:color w:val="auto"/>
          <w:sz w:val="22"/>
          <w:szCs w:val="22"/>
          <w:shd w:val="clear" w:color="auto" w:fill="FFFFFF"/>
        </w:rPr>
        <w:t>on more serious, higher-risk</w:t>
      </w:r>
      <w:r w:rsidR="008B3799" w:rsidRPr="006102C3">
        <w:rPr>
          <w:color w:val="auto"/>
          <w:sz w:val="22"/>
          <w:szCs w:val="22"/>
          <w:shd w:val="clear" w:color="auto" w:fill="FFFFFF"/>
        </w:rPr>
        <w:t> and</w:t>
      </w:r>
      <w:r w:rsidR="00B61267" w:rsidRPr="006102C3">
        <w:rPr>
          <w:color w:val="auto"/>
          <w:sz w:val="22"/>
          <w:szCs w:val="22"/>
          <w:shd w:val="clear" w:color="auto" w:fill="FFFFFF"/>
        </w:rPr>
        <w:t xml:space="preserve"> complex cases</w:t>
      </w:r>
      <w:r w:rsidR="001D386A" w:rsidRPr="006102C3">
        <w:rPr>
          <w:color w:val="auto"/>
          <w:sz w:val="22"/>
          <w:szCs w:val="22"/>
        </w:rPr>
        <w:t>.</w:t>
      </w:r>
      <w:r w:rsidR="008B3799" w:rsidRPr="006102C3">
        <w:rPr>
          <w:color w:val="auto"/>
          <w:sz w:val="22"/>
          <w:szCs w:val="22"/>
        </w:rPr>
        <w:t>’</w:t>
      </w:r>
      <w:r w:rsidR="001D386A" w:rsidRPr="006102C3">
        <w:rPr>
          <w:color w:val="auto"/>
          <w:sz w:val="22"/>
          <w:szCs w:val="22"/>
        </w:rPr>
        <w:t xml:space="preserve"> The conduct committee’s verdict is final if it considers that the complaint does not constitute a disciplinary matter. </w:t>
      </w:r>
      <w:r w:rsidRPr="006102C3">
        <w:rPr>
          <w:color w:val="auto"/>
          <w:sz w:val="22"/>
          <w:szCs w:val="22"/>
        </w:rPr>
        <w:t>According to CARB disciplinary regulations, the ‘Conduct Committee appointed by the Board shall consist of no fewer than nine persons, of whom the majority shall not be accountants.’ Provision is also made for the board to appoint a chai</w:t>
      </w:r>
      <w:r w:rsidR="00B61267" w:rsidRPr="006102C3">
        <w:rPr>
          <w:color w:val="auto"/>
          <w:sz w:val="22"/>
          <w:szCs w:val="22"/>
        </w:rPr>
        <w:t>rperson and deputy</w:t>
      </w:r>
      <w:r w:rsidR="006102C3">
        <w:rPr>
          <w:color w:val="auto"/>
          <w:sz w:val="22"/>
          <w:szCs w:val="22"/>
        </w:rPr>
        <w:t xml:space="preserve"> </w:t>
      </w:r>
      <w:r w:rsidR="00B61267" w:rsidRPr="006102C3">
        <w:rPr>
          <w:color w:val="auto"/>
          <w:sz w:val="22"/>
          <w:szCs w:val="22"/>
        </w:rPr>
        <w:t>chairperson.</w:t>
      </w:r>
      <w:r w:rsidR="000D4634" w:rsidRPr="006102C3">
        <w:rPr>
          <w:rStyle w:val="FootnoteReference"/>
          <w:color w:val="auto"/>
          <w:sz w:val="22"/>
          <w:szCs w:val="22"/>
        </w:rPr>
        <w:footnoteReference w:id="6"/>
      </w:r>
      <w:r w:rsidR="00B61267" w:rsidRPr="006102C3">
        <w:rPr>
          <w:color w:val="auto"/>
          <w:sz w:val="22"/>
          <w:szCs w:val="22"/>
        </w:rPr>
        <w:t xml:space="preserve"> The regulations do not state whether the chairperson or deputy chairperson are required to be accountants or non-accountants.  </w:t>
      </w:r>
    </w:p>
    <w:p w:rsidR="00275FF2" w:rsidRPr="006102C3" w:rsidRDefault="00275FF2" w:rsidP="006102C3">
      <w:pPr>
        <w:pStyle w:val="Default"/>
        <w:spacing w:line="360" w:lineRule="auto"/>
        <w:ind w:left="720"/>
        <w:rPr>
          <w:color w:val="auto"/>
          <w:sz w:val="22"/>
          <w:szCs w:val="22"/>
        </w:rPr>
      </w:pPr>
    </w:p>
    <w:p w:rsidR="00275FF2" w:rsidRPr="006102C3" w:rsidRDefault="00275FF2" w:rsidP="006102C3">
      <w:pPr>
        <w:pStyle w:val="Default"/>
        <w:spacing w:line="360" w:lineRule="auto"/>
        <w:ind w:left="720"/>
        <w:rPr>
          <w:i/>
          <w:color w:val="auto"/>
          <w:sz w:val="22"/>
          <w:szCs w:val="22"/>
        </w:rPr>
      </w:pPr>
      <w:r w:rsidRPr="006102C3">
        <w:rPr>
          <w:i/>
          <w:color w:val="auto"/>
          <w:sz w:val="22"/>
          <w:szCs w:val="22"/>
        </w:rPr>
        <w:t xml:space="preserve">Head of Professional Conduct and Independent Review Committee </w:t>
      </w:r>
    </w:p>
    <w:p w:rsidR="00275FF2" w:rsidRPr="006102C3" w:rsidRDefault="00275FF2" w:rsidP="006102C3">
      <w:pPr>
        <w:pStyle w:val="Default"/>
        <w:spacing w:line="360" w:lineRule="auto"/>
        <w:ind w:left="720"/>
        <w:rPr>
          <w:i/>
          <w:color w:val="auto"/>
          <w:sz w:val="22"/>
          <w:szCs w:val="22"/>
        </w:rPr>
      </w:pPr>
    </w:p>
    <w:p w:rsidR="00A9274D" w:rsidRPr="006102C3" w:rsidRDefault="00F27097" w:rsidP="006102C3">
      <w:pPr>
        <w:pStyle w:val="Default"/>
        <w:spacing w:line="360" w:lineRule="auto"/>
        <w:ind w:left="720"/>
        <w:rPr>
          <w:color w:val="auto"/>
          <w:sz w:val="22"/>
          <w:szCs w:val="22"/>
        </w:rPr>
      </w:pPr>
      <w:r w:rsidRPr="006102C3">
        <w:rPr>
          <w:color w:val="auto"/>
          <w:sz w:val="22"/>
          <w:szCs w:val="22"/>
        </w:rPr>
        <w:t>Upon receipt of the investigator’</w:t>
      </w:r>
      <w:r w:rsidR="004A55DE" w:rsidRPr="006102C3">
        <w:rPr>
          <w:color w:val="auto"/>
          <w:sz w:val="22"/>
          <w:szCs w:val="22"/>
        </w:rPr>
        <w:t xml:space="preserve">s report, the HPC will determine whether the Member, Member Firm, Student or </w:t>
      </w:r>
      <w:r w:rsidR="000D4634" w:rsidRPr="006102C3">
        <w:rPr>
          <w:color w:val="auto"/>
          <w:sz w:val="22"/>
          <w:szCs w:val="22"/>
        </w:rPr>
        <w:t xml:space="preserve">Affiliate has a case to answer. </w:t>
      </w:r>
      <w:r w:rsidR="00275FF2" w:rsidRPr="006102C3">
        <w:rPr>
          <w:color w:val="auto"/>
          <w:sz w:val="22"/>
          <w:szCs w:val="22"/>
        </w:rPr>
        <w:t>I</w:t>
      </w:r>
      <w:r w:rsidR="00C51149" w:rsidRPr="006102C3">
        <w:rPr>
          <w:color w:val="auto"/>
          <w:sz w:val="22"/>
          <w:szCs w:val="22"/>
        </w:rPr>
        <w:t>f the HPC determines that there is no case to answer the complain</w:t>
      </w:r>
      <w:r w:rsidR="002B5E10" w:rsidRPr="006102C3">
        <w:rPr>
          <w:color w:val="auto"/>
          <w:sz w:val="22"/>
          <w:szCs w:val="22"/>
        </w:rPr>
        <w:t>t will be considered by an</w:t>
      </w:r>
      <w:r w:rsidR="00C51149" w:rsidRPr="006102C3">
        <w:rPr>
          <w:color w:val="auto"/>
          <w:sz w:val="22"/>
          <w:szCs w:val="22"/>
        </w:rPr>
        <w:t xml:space="preserve"> Independent </w:t>
      </w:r>
      <w:r w:rsidR="002B5E10" w:rsidRPr="006102C3">
        <w:rPr>
          <w:color w:val="auto"/>
          <w:sz w:val="22"/>
          <w:szCs w:val="22"/>
        </w:rPr>
        <w:t>Review Committee drawn from the membership of the Appeal Panel. CARB guidelines state that ‘each Independent Review Committee shall consist of three persons one of whom must be an accountant and two of whom must not be accountants. The Convenor or Deputy Convenor [of the Appeal panel] shall appoint one member of the Independent Review Committee to act as chairperson.’</w:t>
      </w:r>
      <w:r w:rsidR="00635CAD" w:rsidRPr="006102C3">
        <w:rPr>
          <w:color w:val="auto"/>
          <w:sz w:val="22"/>
          <w:szCs w:val="22"/>
        </w:rPr>
        <w:t xml:space="preserve"> The Independent Review Committee reflects on previous decisions made by the conduct committee and the HPC and ‘disposes’ of </w:t>
      </w:r>
      <w:r w:rsidR="00CB525D" w:rsidRPr="006102C3">
        <w:rPr>
          <w:color w:val="auto"/>
          <w:sz w:val="22"/>
          <w:szCs w:val="22"/>
        </w:rPr>
        <w:t>complaints once its review process is complete.</w:t>
      </w:r>
      <w:r w:rsidR="000D4634" w:rsidRPr="006102C3">
        <w:rPr>
          <w:rStyle w:val="FootnoteReference"/>
          <w:color w:val="auto"/>
          <w:sz w:val="22"/>
          <w:szCs w:val="22"/>
        </w:rPr>
        <w:footnoteReference w:id="7"/>
      </w:r>
      <w:r w:rsidR="00CB525D" w:rsidRPr="006102C3">
        <w:rPr>
          <w:color w:val="auto"/>
          <w:sz w:val="22"/>
          <w:szCs w:val="22"/>
        </w:rPr>
        <w:t xml:space="preserve"> </w:t>
      </w:r>
      <w:r w:rsidR="00635CAD" w:rsidRPr="006102C3">
        <w:rPr>
          <w:color w:val="auto"/>
          <w:sz w:val="22"/>
          <w:szCs w:val="22"/>
        </w:rPr>
        <w:t xml:space="preserve"> </w:t>
      </w:r>
    </w:p>
    <w:p w:rsidR="005B3233" w:rsidRPr="006102C3" w:rsidRDefault="005B3233" w:rsidP="006102C3">
      <w:pPr>
        <w:pStyle w:val="Default"/>
        <w:spacing w:line="360" w:lineRule="auto"/>
        <w:rPr>
          <w:i/>
          <w:color w:val="auto"/>
          <w:sz w:val="22"/>
          <w:szCs w:val="22"/>
        </w:rPr>
      </w:pPr>
    </w:p>
    <w:p w:rsidR="00275FF2" w:rsidRDefault="00275FF2" w:rsidP="006102C3">
      <w:pPr>
        <w:pStyle w:val="Default"/>
        <w:spacing w:line="360" w:lineRule="auto"/>
        <w:ind w:left="720"/>
        <w:rPr>
          <w:i/>
          <w:color w:val="auto"/>
          <w:sz w:val="22"/>
          <w:szCs w:val="22"/>
        </w:rPr>
      </w:pPr>
      <w:r w:rsidRPr="006102C3">
        <w:rPr>
          <w:i/>
          <w:color w:val="auto"/>
          <w:sz w:val="22"/>
          <w:szCs w:val="22"/>
        </w:rPr>
        <w:t xml:space="preserve">Head of Professional Conduct and Disciplinary Tribunal </w:t>
      </w:r>
    </w:p>
    <w:p w:rsidR="006102C3" w:rsidRPr="006102C3" w:rsidRDefault="006102C3" w:rsidP="006102C3">
      <w:pPr>
        <w:pStyle w:val="Default"/>
        <w:spacing w:line="360" w:lineRule="auto"/>
        <w:ind w:left="720"/>
        <w:rPr>
          <w:i/>
          <w:color w:val="auto"/>
          <w:sz w:val="22"/>
          <w:szCs w:val="22"/>
        </w:rPr>
      </w:pPr>
    </w:p>
    <w:p w:rsidR="00503283" w:rsidRPr="006102C3" w:rsidRDefault="00275FF2" w:rsidP="006102C3">
      <w:pPr>
        <w:pStyle w:val="Default"/>
        <w:spacing w:line="360" w:lineRule="auto"/>
        <w:ind w:left="720"/>
        <w:rPr>
          <w:color w:val="auto"/>
          <w:sz w:val="22"/>
          <w:szCs w:val="22"/>
        </w:rPr>
      </w:pPr>
      <w:r w:rsidRPr="006102C3">
        <w:rPr>
          <w:color w:val="auto"/>
          <w:sz w:val="22"/>
          <w:szCs w:val="22"/>
        </w:rPr>
        <w:t xml:space="preserve">If </w:t>
      </w:r>
      <w:r w:rsidR="001567FE" w:rsidRPr="006102C3">
        <w:rPr>
          <w:color w:val="auto"/>
          <w:sz w:val="22"/>
          <w:szCs w:val="22"/>
        </w:rPr>
        <w:t>the HPC asserts that there is a case to answer the HPC will either issue a consent order or refer the case to the Disciplinary Tribunal.</w:t>
      </w:r>
      <w:r w:rsidR="00124A8C" w:rsidRPr="006102C3">
        <w:rPr>
          <w:color w:val="auto"/>
          <w:sz w:val="22"/>
          <w:szCs w:val="22"/>
        </w:rPr>
        <w:t xml:space="preserve"> Provision is made for the former option under regulation 27 in the CARB’s disciplinary regulations which is incorporated in the Appendix section of this paper. </w:t>
      </w:r>
      <w:r w:rsidR="00937B8F" w:rsidRPr="006102C3">
        <w:rPr>
          <w:color w:val="auto"/>
          <w:sz w:val="22"/>
          <w:szCs w:val="22"/>
        </w:rPr>
        <w:t xml:space="preserve">Regarding the latter, </w:t>
      </w:r>
      <w:r w:rsidR="0073223F" w:rsidRPr="006102C3">
        <w:rPr>
          <w:color w:val="auto"/>
          <w:sz w:val="22"/>
          <w:szCs w:val="22"/>
        </w:rPr>
        <w:t>the Convenor or Deputy Convenor ‘</w:t>
      </w:r>
      <w:proofErr w:type="gramStart"/>
      <w:r w:rsidR="0073223F" w:rsidRPr="006102C3">
        <w:rPr>
          <w:color w:val="auto"/>
          <w:sz w:val="22"/>
          <w:szCs w:val="22"/>
        </w:rPr>
        <w:t>appoint</w:t>
      </w:r>
      <w:proofErr w:type="gramEnd"/>
      <w:r w:rsidR="0073223F" w:rsidRPr="006102C3">
        <w:rPr>
          <w:color w:val="auto"/>
          <w:sz w:val="22"/>
          <w:szCs w:val="22"/>
        </w:rPr>
        <w:t xml:space="preserve"> a Disciplinary Tribunal from the members of the </w:t>
      </w:r>
      <w:r w:rsidR="0073223F" w:rsidRPr="006102C3">
        <w:rPr>
          <w:color w:val="auto"/>
          <w:sz w:val="22"/>
          <w:szCs w:val="22"/>
        </w:rPr>
        <w:lastRenderedPageBreak/>
        <w:t>Disciplinary Panel to hear each Formal Allegation referred by the Conduct Committee for hearing before a Disciplinary Tribunal and each app</w:t>
      </w:r>
      <w:r w:rsidR="000D4634" w:rsidRPr="006102C3">
        <w:rPr>
          <w:color w:val="auto"/>
          <w:sz w:val="22"/>
          <w:szCs w:val="22"/>
        </w:rPr>
        <w:t>lication for an Interim Order.’</w:t>
      </w:r>
      <w:r w:rsidR="000D4634" w:rsidRPr="006102C3">
        <w:rPr>
          <w:rStyle w:val="FootnoteReference"/>
          <w:color w:val="auto"/>
          <w:sz w:val="22"/>
          <w:szCs w:val="22"/>
        </w:rPr>
        <w:footnoteReference w:id="8"/>
      </w:r>
    </w:p>
    <w:p w:rsidR="00503283" w:rsidRPr="006102C3" w:rsidRDefault="0073223F" w:rsidP="006102C3">
      <w:pPr>
        <w:pStyle w:val="Default"/>
        <w:spacing w:line="360" w:lineRule="auto"/>
        <w:ind w:left="720"/>
        <w:rPr>
          <w:color w:val="auto"/>
          <w:sz w:val="22"/>
          <w:szCs w:val="22"/>
        </w:rPr>
      </w:pPr>
      <w:r w:rsidRPr="006102C3">
        <w:rPr>
          <w:color w:val="auto"/>
          <w:sz w:val="22"/>
          <w:szCs w:val="22"/>
        </w:rPr>
        <w:t>Further, regulation 10.3 states that ‘each Disciplinary Tribunal shall consist of three persons one of whom must be an accountant and two of whom must not be accountants. Each Disciplinary Tribunal shall include a lawyer as chairperson.’</w:t>
      </w:r>
      <w:r w:rsidR="000D4634" w:rsidRPr="006102C3">
        <w:rPr>
          <w:rStyle w:val="FootnoteReference"/>
          <w:color w:val="auto"/>
          <w:sz w:val="22"/>
          <w:szCs w:val="22"/>
        </w:rPr>
        <w:footnoteReference w:id="9"/>
      </w:r>
      <w:r w:rsidRPr="006102C3">
        <w:rPr>
          <w:color w:val="auto"/>
          <w:sz w:val="22"/>
          <w:szCs w:val="22"/>
        </w:rPr>
        <w:t xml:space="preserve"> Extra provision is also made for the disciplinary tribunal to appoint a practicing lawyer as a legal assessor. </w:t>
      </w:r>
      <w:r w:rsidR="00916A8D" w:rsidRPr="006102C3">
        <w:rPr>
          <w:color w:val="auto"/>
          <w:sz w:val="22"/>
          <w:szCs w:val="22"/>
        </w:rPr>
        <w:t>Regulation 43.1 permits the Member, Member Firm, Student or Affiliate to appeal the outc</w:t>
      </w:r>
      <w:r w:rsidR="00275FF2" w:rsidRPr="006102C3">
        <w:rPr>
          <w:color w:val="auto"/>
          <w:sz w:val="22"/>
          <w:szCs w:val="22"/>
        </w:rPr>
        <w:t>ome of the disciplinary tribunal.</w:t>
      </w:r>
    </w:p>
    <w:p w:rsidR="00916A8D" w:rsidRPr="006102C3" w:rsidRDefault="00916A8D" w:rsidP="006102C3">
      <w:pPr>
        <w:pStyle w:val="Default"/>
        <w:spacing w:line="360" w:lineRule="auto"/>
        <w:rPr>
          <w:color w:val="auto"/>
          <w:sz w:val="22"/>
          <w:szCs w:val="22"/>
        </w:rPr>
      </w:pPr>
    </w:p>
    <w:p w:rsidR="00275FF2" w:rsidRPr="006102C3" w:rsidRDefault="00275FF2" w:rsidP="006102C3">
      <w:pPr>
        <w:pStyle w:val="Default"/>
        <w:spacing w:line="360" w:lineRule="auto"/>
        <w:ind w:left="709"/>
        <w:rPr>
          <w:i/>
          <w:color w:val="auto"/>
          <w:sz w:val="22"/>
          <w:szCs w:val="22"/>
        </w:rPr>
      </w:pPr>
      <w:r w:rsidRPr="006102C3">
        <w:rPr>
          <w:i/>
          <w:color w:val="auto"/>
          <w:sz w:val="22"/>
          <w:szCs w:val="22"/>
        </w:rPr>
        <w:t xml:space="preserve">Appeal Tribunal </w:t>
      </w:r>
    </w:p>
    <w:p w:rsidR="003F3BA2" w:rsidRPr="006102C3" w:rsidRDefault="003F3BA2" w:rsidP="006102C3">
      <w:pPr>
        <w:pStyle w:val="Default"/>
        <w:spacing w:line="360" w:lineRule="auto"/>
        <w:rPr>
          <w:color w:val="auto"/>
          <w:sz w:val="22"/>
          <w:szCs w:val="22"/>
        </w:rPr>
      </w:pPr>
    </w:p>
    <w:p w:rsidR="00F04D22" w:rsidRPr="00BA7693" w:rsidRDefault="003F3BA2" w:rsidP="00BA7693">
      <w:pPr>
        <w:pStyle w:val="Default"/>
        <w:spacing w:line="360" w:lineRule="auto"/>
        <w:ind w:left="720"/>
        <w:rPr>
          <w:color w:val="auto"/>
          <w:sz w:val="22"/>
          <w:szCs w:val="22"/>
        </w:rPr>
      </w:pPr>
      <w:r w:rsidRPr="006102C3">
        <w:rPr>
          <w:color w:val="auto"/>
          <w:sz w:val="22"/>
          <w:szCs w:val="22"/>
        </w:rPr>
        <w:t xml:space="preserve">The Appeal Tribunal is the final stage of the disciplinary procedure. </w:t>
      </w:r>
      <w:r w:rsidR="00A15182" w:rsidRPr="006102C3">
        <w:rPr>
          <w:color w:val="auto"/>
          <w:sz w:val="22"/>
          <w:szCs w:val="22"/>
        </w:rPr>
        <w:t xml:space="preserve">It </w:t>
      </w:r>
      <w:r w:rsidR="00847AA7" w:rsidRPr="006102C3">
        <w:rPr>
          <w:color w:val="auto"/>
          <w:sz w:val="22"/>
          <w:szCs w:val="22"/>
        </w:rPr>
        <w:t>draws its membership from the Appeal Panel which is composed ‘of no fewer than nine persons.’</w:t>
      </w:r>
      <w:r w:rsidR="00275FF2" w:rsidRPr="006102C3">
        <w:rPr>
          <w:color w:val="auto"/>
          <w:sz w:val="22"/>
          <w:szCs w:val="22"/>
        </w:rPr>
        <w:t xml:space="preserve"> </w:t>
      </w:r>
      <w:r w:rsidR="00847AA7" w:rsidRPr="006102C3">
        <w:rPr>
          <w:color w:val="auto"/>
          <w:sz w:val="22"/>
          <w:szCs w:val="22"/>
        </w:rPr>
        <w:t>CARB regulations state ‘each Appeal Tribunal shall consist of three persons one of whom must be an accountant and two of whom must not be accountants. Each Appeal Tribunal shall include a lawyer as chairperson.’</w:t>
      </w:r>
      <w:r w:rsidR="00275FF2" w:rsidRPr="006102C3">
        <w:rPr>
          <w:color w:val="auto"/>
          <w:sz w:val="22"/>
          <w:szCs w:val="22"/>
        </w:rPr>
        <w:t xml:space="preserve"> </w:t>
      </w:r>
      <w:r w:rsidR="00847AA7" w:rsidRPr="006102C3">
        <w:rPr>
          <w:color w:val="auto"/>
          <w:sz w:val="22"/>
          <w:szCs w:val="22"/>
        </w:rPr>
        <w:t>Like the Disciplinary Tribunal, the ‘Appeal Tribunal may appoint a Practising Lawyer to act as legal assessor.’</w:t>
      </w:r>
      <w:r w:rsidR="000D4634" w:rsidRPr="006102C3">
        <w:rPr>
          <w:rStyle w:val="FootnoteReference"/>
          <w:color w:val="auto"/>
          <w:sz w:val="22"/>
          <w:szCs w:val="22"/>
        </w:rPr>
        <w:footnoteReference w:id="10"/>
      </w:r>
    </w:p>
    <w:p w:rsidR="007F7F26" w:rsidRDefault="007F7F26" w:rsidP="000C2490">
      <w:pPr>
        <w:pStyle w:val="B1BodyText"/>
        <w:rPr>
          <w:b/>
        </w:rPr>
      </w:pPr>
    </w:p>
    <w:p w:rsidR="007F7F26" w:rsidRDefault="007F7F26" w:rsidP="000C2490">
      <w:pPr>
        <w:pStyle w:val="B1BodyText"/>
        <w:rPr>
          <w:b/>
        </w:rPr>
      </w:pPr>
    </w:p>
    <w:p w:rsidR="007F7F26" w:rsidRDefault="007F7F26" w:rsidP="000C2490">
      <w:pPr>
        <w:pStyle w:val="B1BodyText"/>
        <w:rPr>
          <w:b/>
        </w:rPr>
      </w:pPr>
    </w:p>
    <w:p w:rsidR="007F7F26" w:rsidRDefault="007F7F26" w:rsidP="000C2490">
      <w:pPr>
        <w:pStyle w:val="B1BodyText"/>
        <w:rPr>
          <w:b/>
        </w:rPr>
      </w:pPr>
    </w:p>
    <w:p w:rsidR="007F7F26" w:rsidRDefault="007F7F26" w:rsidP="000C2490">
      <w:pPr>
        <w:pStyle w:val="B1BodyText"/>
        <w:rPr>
          <w:b/>
        </w:rPr>
      </w:pPr>
    </w:p>
    <w:p w:rsidR="007F7F26" w:rsidRDefault="007F7F26" w:rsidP="000C2490">
      <w:pPr>
        <w:pStyle w:val="B1BodyText"/>
        <w:rPr>
          <w:b/>
        </w:rPr>
      </w:pPr>
    </w:p>
    <w:p w:rsidR="007F7F26" w:rsidRDefault="007F7F26" w:rsidP="000C2490">
      <w:pPr>
        <w:pStyle w:val="B1BodyText"/>
        <w:rPr>
          <w:b/>
        </w:rPr>
      </w:pPr>
    </w:p>
    <w:p w:rsidR="007F7F26" w:rsidRDefault="007F7F26" w:rsidP="000C2490">
      <w:pPr>
        <w:pStyle w:val="B1BodyText"/>
        <w:rPr>
          <w:b/>
        </w:rPr>
      </w:pPr>
    </w:p>
    <w:p w:rsidR="000C2490" w:rsidRPr="00AD5FE7" w:rsidRDefault="000C2490" w:rsidP="000C2490">
      <w:pPr>
        <w:pStyle w:val="B1BodyText"/>
        <w:rPr>
          <w:b/>
        </w:rPr>
      </w:pPr>
      <w:r>
        <w:rPr>
          <w:b/>
        </w:rPr>
        <w:lastRenderedPageBreak/>
        <w:t>Figure 1: CARB’s complaints procedure</w:t>
      </w:r>
      <w:r>
        <w:rPr>
          <w:rStyle w:val="FootnoteReference"/>
          <w:b/>
        </w:rPr>
        <w:footnoteReference w:id="11"/>
      </w:r>
      <w:r w:rsidRPr="006102C3">
        <w:t xml:space="preserve"> </w:t>
      </w:r>
    </w:p>
    <w:p w:rsidR="000C2490" w:rsidRPr="006102C3" w:rsidRDefault="007F7F26" w:rsidP="006102C3">
      <w:pPr>
        <w:pStyle w:val="Default"/>
        <w:spacing w:line="360" w:lineRule="auto"/>
        <w:ind w:left="360"/>
        <w:rPr>
          <w:color w:val="auto"/>
        </w:rPr>
      </w:pPr>
      <w:r>
        <w:rPr>
          <w:noProof/>
        </w:rPr>
        <w:drawing>
          <wp:anchor distT="0" distB="0" distL="114300" distR="114300" simplePos="0" relativeHeight="251671552" behindDoc="0" locked="0" layoutInCell="1" allowOverlap="1" wp14:anchorId="4469996A" wp14:editId="222F5E63">
            <wp:simplePos x="0" y="0"/>
            <wp:positionH relativeFrom="column">
              <wp:posOffset>443230</wp:posOffset>
            </wp:positionH>
            <wp:positionV relativeFrom="paragraph">
              <wp:posOffset>125730</wp:posOffset>
            </wp:positionV>
            <wp:extent cx="5175885" cy="3418840"/>
            <wp:effectExtent l="0" t="0" r="571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175885" cy="3418840"/>
                    </a:xfrm>
                    <a:prstGeom prst="rect">
                      <a:avLst/>
                    </a:prstGeom>
                  </pic:spPr>
                </pic:pic>
              </a:graphicData>
            </a:graphic>
            <wp14:sizeRelH relativeFrom="page">
              <wp14:pctWidth>0</wp14:pctWidth>
            </wp14:sizeRelH>
            <wp14:sizeRelV relativeFrom="page">
              <wp14:pctHeight>0</wp14:pctHeight>
            </wp14:sizeRelV>
          </wp:anchor>
        </w:drawing>
      </w:r>
    </w:p>
    <w:p w:rsidR="000C2490" w:rsidRDefault="000C2490" w:rsidP="006102C3">
      <w:pPr>
        <w:pStyle w:val="B1BodyText"/>
        <w:spacing w:line="360" w:lineRule="auto"/>
        <w:rPr>
          <w:rFonts w:cs="Arial"/>
          <w:b/>
          <w:color w:val="auto"/>
        </w:rPr>
      </w:pPr>
    </w:p>
    <w:p w:rsidR="000C2490" w:rsidRDefault="000C2490" w:rsidP="006102C3">
      <w:pPr>
        <w:pStyle w:val="B1BodyText"/>
        <w:spacing w:line="360" w:lineRule="auto"/>
        <w:rPr>
          <w:rFonts w:cs="Arial"/>
          <w:b/>
          <w:color w:val="auto"/>
        </w:rPr>
      </w:pPr>
    </w:p>
    <w:p w:rsidR="000C2490" w:rsidRDefault="000C2490" w:rsidP="006102C3">
      <w:pPr>
        <w:pStyle w:val="B1BodyText"/>
        <w:spacing w:line="360" w:lineRule="auto"/>
        <w:rPr>
          <w:rFonts w:cs="Arial"/>
          <w:b/>
          <w:color w:val="auto"/>
        </w:rPr>
      </w:pPr>
    </w:p>
    <w:p w:rsidR="000C2490" w:rsidRDefault="000C2490" w:rsidP="006102C3">
      <w:pPr>
        <w:pStyle w:val="B1BodyText"/>
        <w:spacing w:line="360" w:lineRule="auto"/>
        <w:rPr>
          <w:rFonts w:cs="Arial"/>
          <w:b/>
          <w:color w:val="auto"/>
        </w:rPr>
      </w:pPr>
    </w:p>
    <w:p w:rsidR="000C2490" w:rsidRDefault="000C2490" w:rsidP="006102C3">
      <w:pPr>
        <w:pStyle w:val="B1BodyText"/>
        <w:spacing w:line="360" w:lineRule="auto"/>
        <w:rPr>
          <w:rFonts w:cs="Arial"/>
          <w:b/>
          <w:color w:val="auto"/>
        </w:rPr>
      </w:pPr>
    </w:p>
    <w:p w:rsidR="000C2490" w:rsidRDefault="000C2490" w:rsidP="006926E7">
      <w:pPr>
        <w:pStyle w:val="B1BodyText"/>
        <w:spacing w:line="360" w:lineRule="auto"/>
        <w:ind w:left="0"/>
        <w:rPr>
          <w:rFonts w:cs="Arial"/>
          <w:b/>
          <w:color w:val="auto"/>
        </w:rPr>
      </w:pPr>
    </w:p>
    <w:p w:rsidR="000C2490" w:rsidRDefault="000C2490" w:rsidP="00BA7693">
      <w:pPr>
        <w:pStyle w:val="B1BodyText"/>
        <w:spacing w:line="360" w:lineRule="auto"/>
        <w:ind w:left="0"/>
        <w:rPr>
          <w:rFonts w:cs="Arial"/>
          <w:b/>
          <w:color w:val="auto"/>
        </w:rPr>
      </w:pPr>
    </w:p>
    <w:p w:rsidR="007F7F26" w:rsidRDefault="000C2490" w:rsidP="000C2490">
      <w:pPr>
        <w:pStyle w:val="B1BodyText"/>
        <w:spacing w:line="360" w:lineRule="auto"/>
        <w:ind w:left="0"/>
        <w:rPr>
          <w:rFonts w:cs="Arial"/>
          <w:b/>
          <w:color w:val="auto"/>
        </w:rPr>
      </w:pPr>
      <w:r>
        <w:rPr>
          <w:rFonts w:cs="Arial"/>
          <w:b/>
          <w:color w:val="auto"/>
        </w:rPr>
        <w:t xml:space="preserve">            </w:t>
      </w:r>
    </w:p>
    <w:p w:rsidR="007F7F26" w:rsidRDefault="007F7F26" w:rsidP="000C2490">
      <w:pPr>
        <w:pStyle w:val="B1BodyText"/>
        <w:spacing w:line="360" w:lineRule="auto"/>
        <w:ind w:left="0"/>
        <w:rPr>
          <w:rFonts w:cs="Arial"/>
          <w:b/>
          <w:color w:val="auto"/>
        </w:rPr>
      </w:pPr>
    </w:p>
    <w:p w:rsidR="007F7F26" w:rsidRDefault="007F7F26" w:rsidP="000C2490">
      <w:pPr>
        <w:pStyle w:val="B1BodyText"/>
        <w:spacing w:line="360" w:lineRule="auto"/>
        <w:ind w:left="0"/>
        <w:rPr>
          <w:rFonts w:cs="Arial"/>
          <w:b/>
          <w:color w:val="auto"/>
        </w:rPr>
      </w:pPr>
    </w:p>
    <w:p w:rsidR="009720E2" w:rsidRPr="006102C3" w:rsidRDefault="001340EA" w:rsidP="000C2490">
      <w:pPr>
        <w:pStyle w:val="B1BodyText"/>
        <w:spacing w:line="360" w:lineRule="auto"/>
        <w:ind w:left="0"/>
        <w:rPr>
          <w:rFonts w:cs="Arial"/>
          <w:b/>
          <w:color w:val="auto"/>
        </w:rPr>
      </w:pPr>
      <w:r>
        <w:rPr>
          <w:rFonts w:cs="Arial"/>
          <w:b/>
          <w:color w:val="auto"/>
        </w:rPr>
        <w:t xml:space="preserve">          </w:t>
      </w:r>
      <w:r w:rsidR="00995B6D" w:rsidRPr="006102C3">
        <w:rPr>
          <w:rFonts w:cs="Arial"/>
          <w:b/>
          <w:color w:val="auto"/>
        </w:rPr>
        <w:t>Institute of Chartered Accountants Scotland (ICAS)</w:t>
      </w:r>
    </w:p>
    <w:p w:rsidR="00AF5AC2" w:rsidRPr="006102C3" w:rsidRDefault="000C1A8E" w:rsidP="006102C3">
      <w:pPr>
        <w:pStyle w:val="B1BodyText"/>
        <w:spacing w:line="360" w:lineRule="auto"/>
        <w:ind w:left="720"/>
        <w:rPr>
          <w:rFonts w:cs="Arial"/>
          <w:color w:val="auto"/>
          <w:szCs w:val="22"/>
        </w:rPr>
      </w:pPr>
      <w:r w:rsidRPr="006102C3">
        <w:rPr>
          <w:rFonts w:cs="Arial"/>
          <w:color w:val="auto"/>
          <w:szCs w:val="22"/>
        </w:rPr>
        <w:t xml:space="preserve">ICAS is responsible for regulating Chartered Accountant members, student members, affiliates and firms in Scotland. </w:t>
      </w:r>
    </w:p>
    <w:p w:rsidR="00AF5AC2" w:rsidRPr="006102C3" w:rsidRDefault="00AF5AC2" w:rsidP="006102C3">
      <w:pPr>
        <w:pStyle w:val="B1BodyText"/>
        <w:spacing w:line="360" w:lineRule="auto"/>
        <w:ind w:left="720"/>
        <w:rPr>
          <w:rFonts w:cs="Arial"/>
          <w:i/>
          <w:color w:val="auto"/>
          <w:szCs w:val="22"/>
        </w:rPr>
      </w:pPr>
      <w:r w:rsidRPr="006102C3">
        <w:rPr>
          <w:rFonts w:cs="Arial"/>
          <w:i/>
          <w:color w:val="auto"/>
          <w:szCs w:val="22"/>
        </w:rPr>
        <w:t>ICAS caseworker</w:t>
      </w:r>
    </w:p>
    <w:p w:rsidR="00995B6D" w:rsidRPr="006102C3" w:rsidRDefault="00862C82" w:rsidP="006102C3">
      <w:pPr>
        <w:pStyle w:val="B1BodyText"/>
        <w:spacing w:line="360" w:lineRule="auto"/>
        <w:ind w:left="720"/>
        <w:rPr>
          <w:rFonts w:cs="Arial"/>
          <w:color w:val="auto"/>
          <w:szCs w:val="22"/>
        </w:rPr>
      </w:pPr>
      <w:r w:rsidRPr="006102C3">
        <w:rPr>
          <w:rFonts w:cs="Arial"/>
          <w:color w:val="auto"/>
          <w:szCs w:val="22"/>
        </w:rPr>
        <w:t xml:space="preserve">Once a complaint is made it </w:t>
      </w:r>
      <w:r w:rsidR="007D7FD3" w:rsidRPr="006102C3">
        <w:rPr>
          <w:rFonts w:cs="Arial"/>
          <w:color w:val="auto"/>
          <w:szCs w:val="22"/>
        </w:rPr>
        <w:t>is</w:t>
      </w:r>
      <w:r w:rsidRPr="006102C3">
        <w:rPr>
          <w:rFonts w:cs="Arial"/>
          <w:color w:val="auto"/>
          <w:szCs w:val="22"/>
        </w:rPr>
        <w:t xml:space="preserve"> assigned to an accountant or solicitor who is also employed as an ICAS caseworker</w:t>
      </w:r>
      <w:r w:rsidR="007D7FD3" w:rsidRPr="006102C3">
        <w:rPr>
          <w:rFonts w:cs="Arial"/>
          <w:color w:val="auto"/>
          <w:szCs w:val="22"/>
        </w:rPr>
        <w:t xml:space="preserve"> and if there are ‘grounds for further investigation’ it is referred to the ICAS Investigation Committee.</w:t>
      </w:r>
      <w:r w:rsidR="000D4634" w:rsidRPr="006102C3">
        <w:rPr>
          <w:rStyle w:val="FootnoteReference"/>
          <w:rFonts w:cs="Arial"/>
          <w:color w:val="auto"/>
          <w:szCs w:val="22"/>
        </w:rPr>
        <w:footnoteReference w:id="12"/>
      </w:r>
      <w:r w:rsidR="007D7FD3" w:rsidRPr="006102C3">
        <w:rPr>
          <w:rFonts w:cs="Arial"/>
          <w:color w:val="auto"/>
          <w:szCs w:val="22"/>
        </w:rPr>
        <w:t xml:space="preserve"> </w:t>
      </w:r>
      <w:r w:rsidRPr="006102C3">
        <w:rPr>
          <w:rFonts w:cs="Arial"/>
          <w:color w:val="auto"/>
          <w:szCs w:val="22"/>
        </w:rPr>
        <w:t xml:space="preserve"> </w:t>
      </w:r>
    </w:p>
    <w:p w:rsidR="00AF5AC2" w:rsidRPr="006102C3" w:rsidRDefault="00AF5AC2" w:rsidP="006102C3">
      <w:pPr>
        <w:pStyle w:val="B1BodyText"/>
        <w:spacing w:line="360" w:lineRule="auto"/>
        <w:rPr>
          <w:rFonts w:cs="Arial"/>
          <w:color w:val="auto"/>
          <w:szCs w:val="22"/>
        </w:rPr>
      </w:pPr>
      <w:r w:rsidRPr="006102C3">
        <w:rPr>
          <w:rFonts w:cs="Arial"/>
          <w:color w:val="auto"/>
          <w:szCs w:val="22"/>
        </w:rPr>
        <w:t xml:space="preserve">  </w:t>
      </w:r>
      <w:r w:rsidRPr="006102C3">
        <w:rPr>
          <w:rFonts w:cs="Arial"/>
          <w:i/>
          <w:color w:val="auto"/>
          <w:szCs w:val="22"/>
        </w:rPr>
        <w:t>Investigation Committee</w:t>
      </w:r>
    </w:p>
    <w:p w:rsidR="00F04D22" w:rsidRPr="006102C3" w:rsidRDefault="00101709" w:rsidP="006102C3">
      <w:pPr>
        <w:pStyle w:val="B1BodyText"/>
        <w:spacing w:line="360" w:lineRule="auto"/>
        <w:ind w:left="709"/>
        <w:rPr>
          <w:rFonts w:cs="Arial"/>
          <w:color w:val="auto"/>
          <w:szCs w:val="22"/>
        </w:rPr>
      </w:pPr>
      <w:r w:rsidRPr="006102C3">
        <w:rPr>
          <w:rFonts w:cs="Arial"/>
          <w:color w:val="auto"/>
          <w:szCs w:val="22"/>
        </w:rPr>
        <w:t xml:space="preserve">ICAS guidelines describe the Investigation Committee as </w:t>
      </w:r>
      <w:r w:rsidR="005A04E2" w:rsidRPr="006102C3">
        <w:rPr>
          <w:rFonts w:cs="Arial"/>
          <w:color w:val="auto"/>
          <w:szCs w:val="22"/>
        </w:rPr>
        <w:t xml:space="preserve">‘comprised of a Convener and twelve or more other persons. Not less than one half of the Committee shall comprise Public Interest Members.’ </w:t>
      </w:r>
      <w:r w:rsidRPr="006102C3">
        <w:rPr>
          <w:rFonts w:cs="Arial"/>
          <w:color w:val="auto"/>
          <w:szCs w:val="22"/>
        </w:rPr>
        <w:t>F</w:t>
      </w:r>
      <w:r w:rsidR="00A00A92" w:rsidRPr="006102C3">
        <w:rPr>
          <w:rFonts w:cs="Arial"/>
          <w:color w:val="auto"/>
          <w:szCs w:val="22"/>
        </w:rPr>
        <w:t xml:space="preserve">urther, </w:t>
      </w:r>
      <w:r w:rsidRPr="006102C3">
        <w:rPr>
          <w:rFonts w:cs="Arial"/>
          <w:color w:val="auto"/>
          <w:szCs w:val="22"/>
        </w:rPr>
        <w:t>the Committee</w:t>
      </w:r>
      <w:r w:rsidR="00A00A92" w:rsidRPr="006102C3">
        <w:rPr>
          <w:rFonts w:cs="Arial"/>
          <w:color w:val="auto"/>
          <w:szCs w:val="22"/>
        </w:rPr>
        <w:t xml:space="preserve">’s convenor is empowered </w:t>
      </w:r>
      <w:r w:rsidR="00A00A92" w:rsidRPr="006102C3">
        <w:rPr>
          <w:rFonts w:cs="Arial"/>
          <w:color w:val="auto"/>
          <w:szCs w:val="22"/>
        </w:rPr>
        <w:lastRenderedPageBreak/>
        <w:t xml:space="preserve">to </w:t>
      </w:r>
      <w:r w:rsidRPr="006102C3">
        <w:rPr>
          <w:rFonts w:cs="Arial"/>
          <w:color w:val="auto"/>
          <w:szCs w:val="22"/>
        </w:rPr>
        <w:t>appoint an Investigator</w:t>
      </w:r>
      <w:r w:rsidR="00A00A92" w:rsidRPr="006102C3">
        <w:rPr>
          <w:rFonts w:cs="Arial"/>
          <w:color w:val="auto"/>
          <w:szCs w:val="22"/>
        </w:rPr>
        <w:t>, usually the Case Officer,</w:t>
      </w:r>
      <w:r w:rsidRPr="006102C3">
        <w:rPr>
          <w:rFonts w:cs="Arial"/>
          <w:color w:val="auto"/>
          <w:szCs w:val="22"/>
        </w:rPr>
        <w:t xml:space="preserve"> to </w:t>
      </w:r>
      <w:r w:rsidR="00A00A92" w:rsidRPr="006102C3">
        <w:rPr>
          <w:rFonts w:cs="Arial"/>
          <w:color w:val="auto"/>
          <w:szCs w:val="22"/>
        </w:rPr>
        <w:t>‘</w:t>
      </w:r>
      <w:r w:rsidRPr="006102C3">
        <w:rPr>
          <w:rFonts w:cs="Arial"/>
          <w:color w:val="auto"/>
          <w:szCs w:val="22"/>
        </w:rPr>
        <w:t>conduct detailed enquiries</w:t>
      </w:r>
      <w:r w:rsidR="00A00A92" w:rsidRPr="006102C3">
        <w:rPr>
          <w:rFonts w:cs="Arial"/>
          <w:color w:val="auto"/>
          <w:szCs w:val="22"/>
        </w:rPr>
        <w:t>’</w:t>
      </w:r>
      <w:r w:rsidRPr="006102C3">
        <w:rPr>
          <w:rFonts w:cs="Arial"/>
          <w:color w:val="auto"/>
          <w:szCs w:val="22"/>
        </w:rPr>
        <w:t>.</w:t>
      </w:r>
      <w:r w:rsidR="009E1365" w:rsidRPr="006102C3">
        <w:rPr>
          <w:rFonts w:cs="Arial"/>
          <w:color w:val="auto"/>
          <w:szCs w:val="22"/>
        </w:rPr>
        <w:t xml:space="preserve"> The convenor is a chartered accountant and the deputy convenor is a PIM.</w:t>
      </w:r>
      <w:r w:rsidR="000D4634" w:rsidRPr="006102C3">
        <w:rPr>
          <w:rStyle w:val="FootnoteReference"/>
          <w:rFonts w:cs="Arial"/>
          <w:color w:val="auto"/>
          <w:szCs w:val="22"/>
        </w:rPr>
        <w:footnoteReference w:id="13"/>
      </w:r>
      <w:r w:rsidRPr="006102C3">
        <w:rPr>
          <w:rFonts w:cs="Arial"/>
          <w:color w:val="auto"/>
          <w:szCs w:val="22"/>
        </w:rPr>
        <w:t xml:space="preserve"> </w:t>
      </w:r>
    </w:p>
    <w:p w:rsidR="00595DDC" w:rsidRPr="006102C3" w:rsidRDefault="004A3606" w:rsidP="004A3606">
      <w:pPr>
        <w:pStyle w:val="B1BodyText"/>
        <w:spacing w:line="360" w:lineRule="auto"/>
        <w:ind w:left="0"/>
        <w:rPr>
          <w:rFonts w:cs="Arial"/>
          <w:i/>
          <w:color w:val="auto"/>
          <w:szCs w:val="22"/>
        </w:rPr>
      </w:pPr>
      <w:r>
        <w:rPr>
          <w:rFonts w:cs="Arial"/>
          <w:i/>
          <w:color w:val="auto"/>
          <w:szCs w:val="22"/>
        </w:rPr>
        <w:t xml:space="preserve">           </w:t>
      </w:r>
      <w:r w:rsidR="00595DDC" w:rsidRPr="006102C3">
        <w:rPr>
          <w:rFonts w:cs="Arial"/>
          <w:i/>
          <w:color w:val="auto"/>
          <w:szCs w:val="22"/>
        </w:rPr>
        <w:t>Adjudication Committee</w:t>
      </w:r>
    </w:p>
    <w:p w:rsidR="006B2FD1" w:rsidRPr="006102C3" w:rsidRDefault="008F2A71" w:rsidP="006102C3">
      <w:pPr>
        <w:pStyle w:val="B1BodyText"/>
        <w:spacing w:line="360" w:lineRule="auto"/>
        <w:ind w:left="709"/>
        <w:rPr>
          <w:rFonts w:cs="Arial"/>
          <w:color w:val="auto"/>
          <w:szCs w:val="22"/>
        </w:rPr>
      </w:pPr>
      <w:r w:rsidRPr="006102C3">
        <w:rPr>
          <w:rFonts w:cs="Arial"/>
          <w:color w:val="auto"/>
          <w:szCs w:val="22"/>
        </w:rPr>
        <w:t>After the complaint passes through the Investigation Committee stage the ICAS regulations state that ‘in most cases’ the complaint is referred to the Adjudication Commit</w:t>
      </w:r>
      <w:r w:rsidR="009720E2" w:rsidRPr="006102C3">
        <w:rPr>
          <w:rFonts w:cs="Arial"/>
          <w:color w:val="auto"/>
          <w:szCs w:val="22"/>
        </w:rPr>
        <w:t xml:space="preserve">tee. </w:t>
      </w:r>
      <w:r w:rsidRPr="006102C3">
        <w:rPr>
          <w:rFonts w:cs="Arial"/>
          <w:color w:val="auto"/>
          <w:szCs w:val="22"/>
        </w:rPr>
        <w:t>This is composed of three or more members drawn from the Investigation Committee. Its membership includes ‘at least one Chartered Accountant and one Public Interest Member.’</w:t>
      </w:r>
      <w:r w:rsidR="009E1365" w:rsidRPr="006102C3">
        <w:rPr>
          <w:rFonts w:cs="Arial"/>
          <w:color w:val="auto"/>
          <w:szCs w:val="22"/>
        </w:rPr>
        <w:t xml:space="preserve"> Like the Investigation Committee, the convenor and deputy convenor are a chartered accountant and PIM respectively.</w:t>
      </w:r>
      <w:r w:rsidR="000D4634" w:rsidRPr="006102C3">
        <w:rPr>
          <w:rStyle w:val="FootnoteReference"/>
          <w:rFonts w:cs="Arial"/>
          <w:color w:val="auto"/>
          <w:szCs w:val="22"/>
        </w:rPr>
        <w:footnoteReference w:id="14"/>
      </w:r>
      <w:r w:rsidR="009E1365" w:rsidRPr="006102C3">
        <w:rPr>
          <w:rFonts w:cs="Arial"/>
          <w:color w:val="auto"/>
          <w:szCs w:val="22"/>
        </w:rPr>
        <w:t xml:space="preserve">  </w:t>
      </w:r>
      <w:r w:rsidR="006B2FD1" w:rsidRPr="006102C3">
        <w:rPr>
          <w:rFonts w:cs="Arial"/>
          <w:color w:val="auto"/>
          <w:szCs w:val="22"/>
        </w:rPr>
        <w:t xml:space="preserve"> </w:t>
      </w:r>
    </w:p>
    <w:p w:rsidR="00595DDC" w:rsidRPr="006102C3" w:rsidRDefault="009655FF" w:rsidP="00BA7693">
      <w:pPr>
        <w:pStyle w:val="B1BodyText"/>
        <w:spacing w:line="360" w:lineRule="auto"/>
        <w:ind w:left="709"/>
        <w:rPr>
          <w:rFonts w:cs="Arial"/>
          <w:color w:val="auto"/>
          <w:szCs w:val="22"/>
        </w:rPr>
      </w:pPr>
      <w:r w:rsidRPr="006102C3">
        <w:rPr>
          <w:rFonts w:cs="Arial"/>
          <w:color w:val="auto"/>
          <w:szCs w:val="22"/>
        </w:rPr>
        <w:t xml:space="preserve">The Adjudication Committee may decide to dismiss a complaint. In this case the complainant has the option for the matter to be reviewed by a qualified solicitor known as the ‘Independent Examiner.’ The Adjudication Committee may also uphold </w:t>
      </w:r>
      <w:r w:rsidR="00283A16" w:rsidRPr="006102C3">
        <w:rPr>
          <w:rFonts w:cs="Arial"/>
          <w:color w:val="auto"/>
          <w:szCs w:val="22"/>
        </w:rPr>
        <w:t xml:space="preserve">the complaint. In this scenario, sanctions may be applied, appealed against or referred to the Discipline Panel. </w:t>
      </w:r>
    </w:p>
    <w:p w:rsidR="001340EA" w:rsidRDefault="001340EA" w:rsidP="006102C3">
      <w:pPr>
        <w:pStyle w:val="NormalWeb"/>
        <w:spacing w:line="360" w:lineRule="auto"/>
        <w:ind w:left="709"/>
        <w:rPr>
          <w:rFonts w:ascii="Arial" w:hAnsi="Arial" w:cs="Arial"/>
          <w:i/>
          <w:sz w:val="22"/>
          <w:szCs w:val="22"/>
        </w:rPr>
      </w:pPr>
    </w:p>
    <w:p w:rsidR="00BA7693" w:rsidRDefault="00595DDC" w:rsidP="001340EA">
      <w:pPr>
        <w:pStyle w:val="NormalWeb"/>
        <w:spacing w:line="360" w:lineRule="auto"/>
        <w:ind w:left="709"/>
        <w:rPr>
          <w:rFonts w:ascii="Arial" w:hAnsi="Arial" w:cs="Arial"/>
          <w:i/>
          <w:sz w:val="22"/>
          <w:szCs w:val="22"/>
        </w:rPr>
      </w:pPr>
      <w:r w:rsidRPr="006102C3">
        <w:rPr>
          <w:rFonts w:ascii="Arial" w:hAnsi="Arial" w:cs="Arial"/>
          <w:i/>
          <w:sz w:val="22"/>
          <w:szCs w:val="22"/>
        </w:rPr>
        <w:t>Discipline Panel</w:t>
      </w:r>
    </w:p>
    <w:p w:rsidR="001340EA" w:rsidRPr="001340EA" w:rsidRDefault="001340EA" w:rsidP="001340EA">
      <w:pPr>
        <w:pStyle w:val="NormalWeb"/>
        <w:spacing w:line="360" w:lineRule="auto"/>
        <w:ind w:left="709"/>
        <w:rPr>
          <w:rFonts w:ascii="Arial" w:hAnsi="Arial" w:cs="Arial"/>
          <w:i/>
          <w:sz w:val="22"/>
          <w:szCs w:val="22"/>
        </w:rPr>
      </w:pPr>
    </w:p>
    <w:p w:rsidR="008A09B6" w:rsidRPr="006102C3" w:rsidRDefault="00394731" w:rsidP="006102C3">
      <w:pPr>
        <w:pStyle w:val="NormalWeb"/>
        <w:spacing w:line="360" w:lineRule="auto"/>
        <w:ind w:left="709"/>
        <w:rPr>
          <w:rFonts w:ascii="Arial" w:hAnsi="Arial" w:cs="Arial"/>
          <w:sz w:val="22"/>
          <w:szCs w:val="22"/>
        </w:rPr>
      </w:pPr>
      <w:r w:rsidRPr="006102C3">
        <w:rPr>
          <w:rFonts w:ascii="Arial" w:hAnsi="Arial" w:cs="Arial"/>
          <w:sz w:val="22"/>
          <w:szCs w:val="22"/>
        </w:rPr>
        <w:t xml:space="preserve">The Discipline Panel is also established by the Discipline Board and its membership </w:t>
      </w:r>
      <w:r w:rsidR="00F47238" w:rsidRPr="006102C3">
        <w:rPr>
          <w:rFonts w:ascii="Arial" w:hAnsi="Arial" w:cs="Arial"/>
          <w:sz w:val="22"/>
          <w:szCs w:val="22"/>
        </w:rPr>
        <w:t xml:space="preserve">includes ‘no fewer than six Members of ICAS, no fewer than six Public Interest Members and no few than four legally qualified persons.’ Like the Appeal panel, </w:t>
      </w:r>
      <w:r w:rsidR="00831922" w:rsidRPr="006102C3">
        <w:rPr>
          <w:rFonts w:ascii="Arial" w:hAnsi="Arial" w:cs="Arial"/>
          <w:sz w:val="22"/>
          <w:szCs w:val="22"/>
        </w:rPr>
        <w:t>the Discipline Board also appoints a legally qualified person to the chairperson role. The quorum’s makeup is also identical.</w:t>
      </w:r>
      <w:r w:rsidR="00E357CA" w:rsidRPr="006102C3">
        <w:rPr>
          <w:rStyle w:val="FootnoteReference"/>
          <w:rFonts w:ascii="Arial" w:hAnsi="Arial" w:cs="Arial"/>
          <w:sz w:val="22"/>
          <w:szCs w:val="22"/>
        </w:rPr>
        <w:footnoteReference w:id="15"/>
      </w:r>
      <w:r w:rsidR="00831922" w:rsidRPr="006102C3">
        <w:rPr>
          <w:rFonts w:ascii="Arial" w:hAnsi="Arial" w:cs="Arial"/>
          <w:sz w:val="22"/>
          <w:szCs w:val="22"/>
        </w:rPr>
        <w:t xml:space="preserve">   </w:t>
      </w:r>
    </w:p>
    <w:p w:rsidR="00595DDC" w:rsidRPr="006102C3" w:rsidRDefault="00595DDC" w:rsidP="006102C3">
      <w:pPr>
        <w:pStyle w:val="NormalWeb"/>
        <w:spacing w:line="360" w:lineRule="auto"/>
        <w:ind w:left="709"/>
        <w:rPr>
          <w:rFonts w:ascii="Arial" w:hAnsi="Arial" w:cs="Arial"/>
          <w:sz w:val="22"/>
          <w:szCs w:val="22"/>
        </w:rPr>
      </w:pPr>
    </w:p>
    <w:p w:rsidR="00595DDC" w:rsidRDefault="00595DDC" w:rsidP="00BA7693">
      <w:pPr>
        <w:pStyle w:val="NormalWeb"/>
        <w:spacing w:line="360" w:lineRule="auto"/>
        <w:ind w:left="709"/>
        <w:rPr>
          <w:rFonts w:ascii="Arial" w:hAnsi="Arial" w:cs="Arial"/>
          <w:i/>
          <w:sz w:val="22"/>
          <w:szCs w:val="22"/>
        </w:rPr>
      </w:pPr>
      <w:r w:rsidRPr="006102C3">
        <w:rPr>
          <w:rFonts w:ascii="Arial" w:hAnsi="Arial" w:cs="Arial"/>
          <w:i/>
          <w:sz w:val="22"/>
          <w:szCs w:val="22"/>
        </w:rPr>
        <w:t>Discipline Tribunal</w:t>
      </w:r>
    </w:p>
    <w:p w:rsidR="00BA7693" w:rsidRPr="006102C3" w:rsidRDefault="00BA7693" w:rsidP="00BA7693">
      <w:pPr>
        <w:pStyle w:val="NormalWeb"/>
        <w:spacing w:line="360" w:lineRule="auto"/>
        <w:ind w:left="709"/>
        <w:rPr>
          <w:rFonts w:ascii="Arial" w:hAnsi="Arial" w:cs="Arial"/>
          <w:i/>
          <w:sz w:val="22"/>
          <w:szCs w:val="22"/>
        </w:rPr>
      </w:pPr>
    </w:p>
    <w:p w:rsidR="006102C3" w:rsidRDefault="00042EDA" w:rsidP="004A3606">
      <w:pPr>
        <w:pStyle w:val="NormalWeb"/>
        <w:spacing w:line="360" w:lineRule="auto"/>
        <w:ind w:left="709"/>
        <w:rPr>
          <w:rFonts w:ascii="Arial" w:hAnsi="Arial" w:cs="Arial"/>
          <w:sz w:val="22"/>
          <w:szCs w:val="22"/>
          <w:lang w:val="en-GB" w:eastAsia="en-GB"/>
        </w:rPr>
      </w:pPr>
      <w:r w:rsidRPr="006102C3">
        <w:rPr>
          <w:rFonts w:ascii="Arial" w:hAnsi="Arial" w:cs="Arial"/>
          <w:sz w:val="22"/>
          <w:szCs w:val="22"/>
        </w:rPr>
        <w:t>Further, it is from this panel that a Discipline Tribunal ob</w:t>
      </w:r>
      <w:r w:rsidR="00503732" w:rsidRPr="006102C3">
        <w:rPr>
          <w:rFonts w:ascii="Arial" w:hAnsi="Arial" w:cs="Arial"/>
          <w:sz w:val="22"/>
          <w:szCs w:val="22"/>
        </w:rPr>
        <w:t xml:space="preserve">tains its members which include, at least, the following: </w:t>
      </w:r>
      <w:r w:rsidR="00503732" w:rsidRPr="006102C3">
        <w:rPr>
          <w:rFonts w:ascii="Arial" w:hAnsi="Arial" w:cs="Arial"/>
          <w:sz w:val="22"/>
          <w:szCs w:val="22"/>
          <w:lang w:val="en-GB" w:eastAsia="en-GB"/>
        </w:rPr>
        <w:t>‘</w:t>
      </w:r>
      <w:r w:rsidRPr="006102C3">
        <w:rPr>
          <w:rFonts w:ascii="Arial" w:hAnsi="Arial" w:cs="Arial"/>
          <w:sz w:val="22"/>
          <w:szCs w:val="22"/>
          <w:lang w:val="en-GB" w:eastAsia="en-GB"/>
        </w:rPr>
        <w:t xml:space="preserve">a legally qualified member as Chairman, not </w:t>
      </w:r>
      <w:proofErr w:type="gramStart"/>
      <w:r w:rsidRPr="006102C3">
        <w:rPr>
          <w:rFonts w:ascii="Arial" w:hAnsi="Arial" w:cs="Arial"/>
          <w:sz w:val="22"/>
          <w:szCs w:val="22"/>
          <w:lang w:val="en-GB" w:eastAsia="en-GB"/>
        </w:rPr>
        <w:t>fewer</w:t>
      </w:r>
      <w:proofErr w:type="gramEnd"/>
      <w:r w:rsidRPr="006102C3">
        <w:rPr>
          <w:rFonts w:ascii="Arial" w:hAnsi="Arial" w:cs="Arial"/>
          <w:sz w:val="22"/>
          <w:szCs w:val="22"/>
          <w:lang w:val="en-GB" w:eastAsia="en-GB"/>
        </w:rPr>
        <w:t xml:space="preserve"> than one Member of ICAS and not fewer than one Public Interest Member of the Panel.</w:t>
      </w:r>
      <w:r w:rsidR="00503732" w:rsidRPr="006102C3">
        <w:rPr>
          <w:rFonts w:ascii="Arial" w:hAnsi="Arial" w:cs="Arial"/>
          <w:sz w:val="22"/>
          <w:szCs w:val="22"/>
          <w:lang w:val="en-GB" w:eastAsia="en-GB"/>
        </w:rPr>
        <w:t xml:space="preserve">’ Under ICAS regulations a discipline tribunal may also be heard ‘in the absence of any one member of a discipline Tribunal except the Chairman, provided </w:t>
      </w:r>
      <w:r w:rsidR="00503732" w:rsidRPr="006102C3">
        <w:rPr>
          <w:rFonts w:ascii="Arial" w:hAnsi="Arial" w:cs="Arial"/>
          <w:sz w:val="22"/>
          <w:szCs w:val="22"/>
          <w:lang w:val="en-GB" w:eastAsia="en-GB"/>
        </w:rPr>
        <w:lastRenderedPageBreak/>
        <w:t>that if the defender is present, the hearing may proceed in the absence of such member only if the defender consents.’</w:t>
      </w:r>
      <w:r w:rsidR="00E357CA" w:rsidRPr="006102C3">
        <w:rPr>
          <w:rStyle w:val="FootnoteReference"/>
          <w:rFonts w:ascii="Arial" w:hAnsi="Arial" w:cs="Arial"/>
          <w:sz w:val="22"/>
          <w:szCs w:val="22"/>
          <w:lang w:val="en-GB" w:eastAsia="en-GB"/>
        </w:rPr>
        <w:footnoteReference w:id="16"/>
      </w:r>
      <w:r w:rsidR="00503732" w:rsidRPr="006102C3">
        <w:rPr>
          <w:rFonts w:ascii="Arial" w:hAnsi="Arial" w:cs="Arial"/>
          <w:sz w:val="22"/>
          <w:szCs w:val="22"/>
          <w:lang w:val="en-GB" w:eastAsia="en-GB"/>
        </w:rPr>
        <w:t xml:space="preserve"> </w:t>
      </w:r>
    </w:p>
    <w:p w:rsidR="004A3606" w:rsidRPr="004A3606" w:rsidRDefault="004A3606" w:rsidP="004A3606">
      <w:pPr>
        <w:pStyle w:val="NormalWeb"/>
        <w:spacing w:line="360" w:lineRule="auto"/>
        <w:ind w:left="709"/>
        <w:rPr>
          <w:rFonts w:ascii="Arial" w:hAnsi="Arial" w:cs="Arial"/>
          <w:sz w:val="22"/>
          <w:szCs w:val="22"/>
          <w:lang w:val="en-GB" w:eastAsia="en-GB"/>
        </w:rPr>
      </w:pPr>
    </w:p>
    <w:p w:rsidR="00595DDC" w:rsidRPr="006102C3" w:rsidRDefault="00595DDC" w:rsidP="006102C3">
      <w:pPr>
        <w:pStyle w:val="NormalWeb"/>
        <w:spacing w:line="360" w:lineRule="auto"/>
        <w:ind w:left="709"/>
        <w:rPr>
          <w:rFonts w:ascii="Arial" w:hAnsi="Arial" w:cs="Arial"/>
          <w:i/>
          <w:sz w:val="22"/>
          <w:szCs w:val="22"/>
        </w:rPr>
      </w:pPr>
      <w:r w:rsidRPr="006102C3">
        <w:rPr>
          <w:rFonts w:ascii="Arial" w:hAnsi="Arial" w:cs="Arial"/>
          <w:i/>
          <w:sz w:val="22"/>
          <w:szCs w:val="22"/>
          <w:lang w:val="en-GB" w:eastAsia="en-GB"/>
        </w:rPr>
        <w:t xml:space="preserve">Appeal Panel </w:t>
      </w:r>
    </w:p>
    <w:p w:rsidR="00595DDC" w:rsidRPr="006102C3" w:rsidRDefault="00595DDC" w:rsidP="006102C3">
      <w:pPr>
        <w:pStyle w:val="NormalWeb"/>
        <w:spacing w:line="360" w:lineRule="auto"/>
        <w:ind w:left="709"/>
        <w:rPr>
          <w:rFonts w:ascii="Arial" w:hAnsi="Arial" w:cs="Arial"/>
          <w:sz w:val="22"/>
          <w:szCs w:val="22"/>
        </w:rPr>
      </w:pPr>
    </w:p>
    <w:p w:rsidR="008A09B6" w:rsidRPr="006102C3" w:rsidRDefault="00B2742F" w:rsidP="006102C3">
      <w:pPr>
        <w:pStyle w:val="NormalWeb"/>
        <w:spacing w:line="360" w:lineRule="auto"/>
        <w:ind w:left="709"/>
        <w:rPr>
          <w:rFonts w:ascii="Arial" w:hAnsi="Arial" w:cs="Arial"/>
          <w:sz w:val="22"/>
          <w:szCs w:val="22"/>
        </w:rPr>
      </w:pPr>
      <w:r w:rsidRPr="006102C3">
        <w:rPr>
          <w:rFonts w:ascii="Arial" w:hAnsi="Arial" w:cs="Arial"/>
          <w:sz w:val="22"/>
          <w:szCs w:val="22"/>
        </w:rPr>
        <w:t>Created by the Discipline Board, the Appeal Panel is ‘comprised of no fewer than two Members of ICAS, no fewer than two Public Interest Members and no fewer than two legally qualified persons.’ One of these legally qualified persons is also appointed as chair of the panel by the Discipline Board. The panel must also have at least one ICAS member, one PIM and one legally qualified member present at a hearing for a quorum to be achieved.</w:t>
      </w:r>
      <w:r w:rsidR="00E357CA" w:rsidRPr="006102C3">
        <w:rPr>
          <w:rStyle w:val="FootnoteReference"/>
          <w:rFonts w:ascii="Arial" w:hAnsi="Arial" w:cs="Arial"/>
          <w:sz w:val="22"/>
          <w:szCs w:val="22"/>
        </w:rPr>
        <w:footnoteReference w:id="17"/>
      </w:r>
      <w:r w:rsidRPr="006102C3">
        <w:rPr>
          <w:rFonts w:ascii="Arial" w:hAnsi="Arial" w:cs="Arial"/>
          <w:sz w:val="22"/>
          <w:szCs w:val="22"/>
        </w:rPr>
        <w:t xml:space="preserve"> </w:t>
      </w:r>
    </w:p>
    <w:p w:rsidR="00595DDC" w:rsidRPr="006102C3" w:rsidRDefault="00595DDC" w:rsidP="006102C3">
      <w:pPr>
        <w:pStyle w:val="NormalWeb"/>
        <w:spacing w:line="360" w:lineRule="auto"/>
        <w:ind w:left="709"/>
        <w:rPr>
          <w:rFonts w:ascii="Arial" w:hAnsi="Arial" w:cs="Arial"/>
          <w:sz w:val="22"/>
          <w:szCs w:val="22"/>
        </w:rPr>
      </w:pPr>
    </w:p>
    <w:p w:rsidR="00595DDC" w:rsidRPr="006102C3" w:rsidRDefault="00595DDC" w:rsidP="006102C3">
      <w:pPr>
        <w:pStyle w:val="NormalWeb"/>
        <w:spacing w:line="360" w:lineRule="auto"/>
        <w:ind w:left="709"/>
        <w:rPr>
          <w:rFonts w:ascii="Arial" w:hAnsi="Arial" w:cs="Arial"/>
          <w:i/>
          <w:sz w:val="22"/>
          <w:szCs w:val="22"/>
        </w:rPr>
      </w:pPr>
      <w:r w:rsidRPr="006102C3">
        <w:rPr>
          <w:rFonts w:ascii="Arial" w:hAnsi="Arial" w:cs="Arial"/>
          <w:i/>
          <w:sz w:val="22"/>
          <w:szCs w:val="22"/>
        </w:rPr>
        <w:t>Appeal Tribunal</w:t>
      </w:r>
    </w:p>
    <w:p w:rsidR="00595DDC" w:rsidRPr="006102C3" w:rsidRDefault="00595DDC" w:rsidP="006102C3">
      <w:pPr>
        <w:pStyle w:val="NormalWeb"/>
        <w:spacing w:line="360" w:lineRule="auto"/>
        <w:ind w:left="709"/>
        <w:rPr>
          <w:rFonts w:ascii="Arial" w:hAnsi="Arial" w:cs="Arial"/>
          <w:sz w:val="22"/>
          <w:szCs w:val="22"/>
        </w:rPr>
      </w:pPr>
    </w:p>
    <w:p w:rsidR="00E357CA" w:rsidRPr="006102C3" w:rsidRDefault="00B2742F" w:rsidP="006102C3">
      <w:pPr>
        <w:pStyle w:val="NormalWeb"/>
        <w:spacing w:line="360" w:lineRule="auto"/>
        <w:ind w:left="709"/>
        <w:rPr>
          <w:rFonts w:ascii="Arial" w:hAnsi="Arial" w:cs="Arial"/>
          <w:sz w:val="22"/>
          <w:szCs w:val="22"/>
        </w:rPr>
      </w:pPr>
      <w:r w:rsidRPr="006102C3">
        <w:rPr>
          <w:rFonts w:ascii="Arial" w:hAnsi="Arial" w:cs="Arial"/>
          <w:sz w:val="22"/>
          <w:szCs w:val="22"/>
        </w:rPr>
        <w:t>It is from the Appeal Panel’s membership that an Appeal Tribunal is drawn. A tribunal comprises a legally qualified person as Chairman, a Member of ICAS and a PIM.  ICAS regulations also state that ‘an appeal may be heard in the absence of any one member of an Appeal Tribunal other than the Chairman, provided that if the appellant is present the appeal may be heard in the absence of such member only if the appellant consents.’</w:t>
      </w:r>
      <w:r w:rsidR="00E357CA" w:rsidRPr="006102C3">
        <w:rPr>
          <w:rStyle w:val="FootnoteReference"/>
          <w:rFonts w:ascii="Arial" w:hAnsi="Arial" w:cs="Arial"/>
          <w:sz w:val="22"/>
          <w:szCs w:val="22"/>
        </w:rPr>
        <w:footnoteReference w:id="18"/>
      </w:r>
    </w:p>
    <w:p w:rsidR="001340EA" w:rsidRDefault="001340EA" w:rsidP="006102C3">
      <w:pPr>
        <w:pStyle w:val="B1BodyText"/>
        <w:spacing w:line="360" w:lineRule="auto"/>
        <w:ind w:left="0"/>
        <w:rPr>
          <w:rFonts w:cs="Arial"/>
          <w:color w:val="auto"/>
          <w:szCs w:val="22"/>
          <w:lang w:val="en-US" w:eastAsia="en-US"/>
        </w:rPr>
      </w:pPr>
    </w:p>
    <w:p w:rsidR="001340EA" w:rsidRDefault="001340EA" w:rsidP="006102C3">
      <w:pPr>
        <w:pStyle w:val="B1BodyText"/>
        <w:spacing w:line="360" w:lineRule="auto"/>
        <w:ind w:left="0"/>
        <w:rPr>
          <w:rFonts w:cs="Arial"/>
          <w:color w:val="auto"/>
          <w:szCs w:val="22"/>
          <w:lang w:val="en-US" w:eastAsia="en-US"/>
        </w:rPr>
      </w:pPr>
    </w:p>
    <w:p w:rsidR="001340EA" w:rsidRDefault="001340EA" w:rsidP="006102C3">
      <w:pPr>
        <w:pStyle w:val="B1BodyText"/>
        <w:spacing w:line="360" w:lineRule="auto"/>
        <w:ind w:left="0"/>
        <w:rPr>
          <w:rFonts w:cs="Arial"/>
          <w:color w:val="auto"/>
          <w:szCs w:val="22"/>
          <w:lang w:val="en-US" w:eastAsia="en-US"/>
        </w:rPr>
      </w:pPr>
    </w:p>
    <w:p w:rsidR="001340EA" w:rsidRDefault="001340EA" w:rsidP="006102C3">
      <w:pPr>
        <w:pStyle w:val="B1BodyText"/>
        <w:spacing w:line="360" w:lineRule="auto"/>
        <w:ind w:left="0"/>
        <w:rPr>
          <w:rFonts w:cs="Arial"/>
          <w:color w:val="auto"/>
          <w:szCs w:val="22"/>
          <w:lang w:val="en-US" w:eastAsia="en-US"/>
        </w:rPr>
      </w:pPr>
    </w:p>
    <w:p w:rsidR="001340EA" w:rsidRDefault="001340EA" w:rsidP="006102C3">
      <w:pPr>
        <w:pStyle w:val="B1BodyText"/>
        <w:spacing w:line="360" w:lineRule="auto"/>
        <w:ind w:left="0"/>
        <w:rPr>
          <w:rFonts w:cs="Arial"/>
          <w:color w:val="auto"/>
          <w:szCs w:val="22"/>
          <w:lang w:val="en-US" w:eastAsia="en-US"/>
        </w:rPr>
      </w:pPr>
    </w:p>
    <w:p w:rsidR="001340EA" w:rsidRDefault="001340EA" w:rsidP="006102C3">
      <w:pPr>
        <w:pStyle w:val="B1BodyText"/>
        <w:spacing w:line="360" w:lineRule="auto"/>
        <w:ind w:left="0"/>
        <w:rPr>
          <w:rFonts w:cs="Arial"/>
          <w:color w:val="auto"/>
          <w:szCs w:val="22"/>
          <w:lang w:val="en-US" w:eastAsia="en-US"/>
        </w:rPr>
      </w:pPr>
    </w:p>
    <w:p w:rsidR="001340EA" w:rsidRDefault="001340EA" w:rsidP="006102C3">
      <w:pPr>
        <w:pStyle w:val="B1BodyText"/>
        <w:spacing w:line="360" w:lineRule="auto"/>
        <w:ind w:left="0"/>
        <w:rPr>
          <w:rFonts w:cs="Arial"/>
          <w:color w:val="auto"/>
          <w:szCs w:val="22"/>
          <w:lang w:val="en-US" w:eastAsia="en-US"/>
        </w:rPr>
      </w:pPr>
    </w:p>
    <w:p w:rsidR="001340EA" w:rsidRDefault="001340EA" w:rsidP="006102C3">
      <w:pPr>
        <w:pStyle w:val="B1BodyText"/>
        <w:spacing w:line="360" w:lineRule="auto"/>
        <w:ind w:left="0"/>
        <w:rPr>
          <w:rFonts w:cs="Arial"/>
          <w:color w:val="auto"/>
          <w:szCs w:val="22"/>
          <w:lang w:val="en-US" w:eastAsia="en-US"/>
        </w:rPr>
      </w:pPr>
    </w:p>
    <w:p w:rsidR="001340EA" w:rsidRDefault="001340EA" w:rsidP="006102C3">
      <w:pPr>
        <w:pStyle w:val="B1BodyText"/>
        <w:spacing w:line="360" w:lineRule="auto"/>
        <w:ind w:left="0"/>
        <w:rPr>
          <w:rFonts w:cs="Arial"/>
          <w:color w:val="auto"/>
          <w:szCs w:val="22"/>
          <w:lang w:val="en-US" w:eastAsia="en-US"/>
        </w:rPr>
      </w:pPr>
    </w:p>
    <w:p w:rsidR="001340EA" w:rsidRDefault="001340EA" w:rsidP="006102C3">
      <w:pPr>
        <w:pStyle w:val="B1BodyText"/>
        <w:spacing w:line="360" w:lineRule="auto"/>
        <w:ind w:left="0"/>
        <w:rPr>
          <w:rFonts w:cs="Arial"/>
          <w:color w:val="auto"/>
          <w:szCs w:val="22"/>
          <w:lang w:val="en-US" w:eastAsia="en-US"/>
        </w:rPr>
      </w:pPr>
    </w:p>
    <w:p w:rsidR="00995B6D" w:rsidRPr="006102C3" w:rsidRDefault="00995B6D" w:rsidP="006102C3">
      <w:pPr>
        <w:pStyle w:val="B1BodyText"/>
        <w:spacing w:line="360" w:lineRule="auto"/>
        <w:ind w:left="0"/>
        <w:rPr>
          <w:rFonts w:cs="Arial"/>
          <w:b/>
          <w:color w:val="auto"/>
          <w:sz w:val="24"/>
        </w:rPr>
      </w:pPr>
      <w:r w:rsidRPr="006102C3">
        <w:rPr>
          <w:rFonts w:cs="Arial"/>
          <w:b/>
          <w:color w:val="auto"/>
          <w:sz w:val="24"/>
        </w:rPr>
        <w:lastRenderedPageBreak/>
        <w:t>Institute of Chartered Accountants England and Wales (ICAEW)</w:t>
      </w:r>
    </w:p>
    <w:p w:rsidR="0067224F" w:rsidRPr="006102C3" w:rsidRDefault="0067224F" w:rsidP="006102C3">
      <w:pPr>
        <w:pStyle w:val="B1BodyText"/>
        <w:spacing w:line="360" w:lineRule="auto"/>
        <w:ind w:left="0"/>
        <w:rPr>
          <w:rFonts w:cs="Arial"/>
          <w:color w:val="auto"/>
          <w:szCs w:val="22"/>
        </w:rPr>
      </w:pPr>
      <w:r w:rsidRPr="006102C3">
        <w:rPr>
          <w:rFonts w:cs="Arial"/>
          <w:color w:val="auto"/>
          <w:szCs w:val="22"/>
        </w:rPr>
        <w:t xml:space="preserve">The ICAEW </w:t>
      </w:r>
      <w:r w:rsidR="00034DDA" w:rsidRPr="006102C3">
        <w:rPr>
          <w:rFonts w:cs="Arial"/>
          <w:color w:val="auto"/>
          <w:szCs w:val="22"/>
        </w:rPr>
        <w:t>regulates members, member firms, students and affiliates in England and Wales.</w:t>
      </w:r>
    </w:p>
    <w:p w:rsidR="000D1AAC" w:rsidRPr="006102C3" w:rsidRDefault="00AD5FE7" w:rsidP="006102C3">
      <w:pPr>
        <w:pStyle w:val="B1BodyText"/>
        <w:spacing w:line="360" w:lineRule="auto"/>
        <w:ind w:left="0"/>
        <w:rPr>
          <w:rFonts w:cs="Arial"/>
          <w:color w:val="auto"/>
          <w:sz w:val="20"/>
          <w:szCs w:val="20"/>
        </w:rPr>
      </w:pPr>
      <w:r w:rsidRPr="006102C3">
        <w:rPr>
          <w:rFonts w:cs="Arial"/>
          <w:b/>
          <w:color w:val="auto"/>
          <w:sz w:val="20"/>
          <w:szCs w:val="20"/>
        </w:rPr>
        <w:t>Figure 2</w:t>
      </w:r>
      <w:r w:rsidR="00030C12" w:rsidRPr="006102C3">
        <w:rPr>
          <w:rFonts w:cs="Arial"/>
          <w:b/>
          <w:color w:val="auto"/>
          <w:sz w:val="20"/>
          <w:szCs w:val="20"/>
        </w:rPr>
        <w:t xml:space="preserve">: The ICAEW’s complaints handling </w:t>
      </w:r>
      <w:r w:rsidR="006102C3">
        <w:rPr>
          <w:rFonts w:cs="Arial"/>
          <w:b/>
          <w:color w:val="auto"/>
          <w:sz w:val="20"/>
          <w:szCs w:val="20"/>
        </w:rPr>
        <w:t xml:space="preserve">process </w:t>
      </w:r>
      <w:r w:rsidR="006102C3" w:rsidRPr="006102C3">
        <w:rPr>
          <w:rFonts w:cs="Arial"/>
          <w:color w:val="auto"/>
          <w:sz w:val="16"/>
          <w:szCs w:val="16"/>
        </w:rPr>
        <w:t>(source:</w:t>
      </w:r>
      <w:r w:rsidR="006102C3" w:rsidRPr="006102C3">
        <w:t xml:space="preserve"> </w:t>
      </w:r>
      <w:hyperlink r:id="rId13" w:history="1">
        <w:r w:rsidR="001A4E93" w:rsidRPr="00224637">
          <w:rPr>
            <w:rStyle w:val="Hyperlink"/>
            <w:rFonts w:cs="Arial"/>
            <w:sz w:val="16"/>
            <w:szCs w:val="16"/>
          </w:rPr>
          <w:t>http://www.icaew.com/~/media/corporate/files/about%20icaew/what%20we%20do/protecting%20the%20public/complaints%20process/how%20we%20investigate%20complaints%20booklet.ashx</w:t>
        </w:r>
      </w:hyperlink>
      <w:r w:rsidR="001A4E93">
        <w:rPr>
          <w:sz w:val="16"/>
          <w:szCs w:val="16"/>
        </w:rPr>
        <w:t xml:space="preserve">) </w:t>
      </w:r>
      <w:bookmarkStart w:id="0" w:name="_GoBack"/>
      <w:bookmarkEnd w:id="0"/>
    </w:p>
    <w:p w:rsidR="00995B6D" w:rsidRPr="006102C3" w:rsidRDefault="008A09B6" w:rsidP="006102C3">
      <w:pPr>
        <w:pStyle w:val="B1BodyText"/>
        <w:spacing w:line="360" w:lineRule="auto"/>
        <w:rPr>
          <w:rFonts w:cs="Arial"/>
          <w:b/>
          <w:color w:val="auto"/>
        </w:rPr>
      </w:pPr>
      <w:r w:rsidRPr="006102C3">
        <w:rPr>
          <w:rFonts w:cs="Arial"/>
          <w:noProof/>
          <w:color w:val="auto"/>
        </w:rPr>
        <w:drawing>
          <wp:anchor distT="0" distB="0" distL="114300" distR="114300" simplePos="0" relativeHeight="251659776" behindDoc="0" locked="0" layoutInCell="1" allowOverlap="1" wp14:anchorId="42CEBC17" wp14:editId="101289D0">
            <wp:simplePos x="0" y="0"/>
            <wp:positionH relativeFrom="column">
              <wp:posOffset>714375</wp:posOffset>
            </wp:positionH>
            <wp:positionV relativeFrom="paragraph">
              <wp:posOffset>162560</wp:posOffset>
            </wp:positionV>
            <wp:extent cx="4464685" cy="5676265"/>
            <wp:effectExtent l="0" t="0" r="0" b="635"/>
            <wp:wrapSquare wrapText="bothSides"/>
            <wp:docPr id="8" name="Picture 8" descr="http://www.icaew.com/~/media/corporate/images/about%20icaew/what%20we%20do/protecting%20the%20public/flow%20chart%20for%20complaints%20handling.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aew.com/~/media/corporate/images/about%20icaew/what%20we%20do/protecting%20the%20public/flow%20chart%20for%20complaints%20handling.ash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4685" cy="5676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5B6D" w:rsidRPr="006102C3" w:rsidRDefault="00995B6D" w:rsidP="006102C3">
      <w:pPr>
        <w:pStyle w:val="B1BodyText"/>
        <w:spacing w:line="360" w:lineRule="auto"/>
        <w:ind w:left="0"/>
        <w:rPr>
          <w:rFonts w:cs="Arial"/>
          <w:b/>
          <w:color w:val="auto"/>
        </w:rPr>
      </w:pPr>
    </w:p>
    <w:p w:rsidR="00995B6D" w:rsidRPr="006102C3" w:rsidRDefault="00995B6D" w:rsidP="006102C3">
      <w:pPr>
        <w:pStyle w:val="B1BodyText"/>
        <w:spacing w:line="360" w:lineRule="auto"/>
        <w:rPr>
          <w:rFonts w:cs="Arial"/>
          <w:b/>
          <w:color w:val="auto"/>
        </w:rPr>
      </w:pPr>
    </w:p>
    <w:p w:rsidR="008A09B6" w:rsidRPr="006102C3" w:rsidRDefault="008A09B6" w:rsidP="006102C3">
      <w:pPr>
        <w:pStyle w:val="B1BodyText"/>
        <w:spacing w:line="360" w:lineRule="auto"/>
        <w:rPr>
          <w:rFonts w:cs="Arial"/>
          <w:b/>
          <w:color w:val="auto"/>
        </w:rPr>
      </w:pPr>
    </w:p>
    <w:p w:rsidR="008A09B6" w:rsidRPr="006102C3" w:rsidRDefault="008A09B6" w:rsidP="006102C3">
      <w:pPr>
        <w:pStyle w:val="B1BodyText"/>
        <w:spacing w:line="360" w:lineRule="auto"/>
        <w:rPr>
          <w:rFonts w:cs="Arial"/>
          <w:b/>
          <w:color w:val="auto"/>
        </w:rPr>
      </w:pPr>
    </w:p>
    <w:p w:rsidR="008A09B6" w:rsidRPr="006102C3" w:rsidRDefault="008A09B6" w:rsidP="006102C3">
      <w:pPr>
        <w:pStyle w:val="B1BodyText"/>
        <w:spacing w:line="360" w:lineRule="auto"/>
        <w:rPr>
          <w:rFonts w:cs="Arial"/>
          <w:b/>
          <w:color w:val="auto"/>
        </w:rPr>
      </w:pPr>
    </w:p>
    <w:p w:rsidR="008A09B6" w:rsidRPr="006102C3" w:rsidRDefault="008A09B6" w:rsidP="006102C3">
      <w:pPr>
        <w:pStyle w:val="B1BodyText"/>
        <w:spacing w:line="360" w:lineRule="auto"/>
        <w:rPr>
          <w:rFonts w:cs="Arial"/>
          <w:b/>
          <w:color w:val="auto"/>
        </w:rPr>
      </w:pPr>
    </w:p>
    <w:p w:rsidR="008A09B6" w:rsidRPr="006102C3" w:rsidRDefault="008A09B6" w:rsidP="006102C3">
      <w:pPr>
        <w:pStyle w:val="B1BodyText"/>
        <w:spacing w:line="360" w:lineRule="auto"/>
        <w:rPr>
          <w:rFonts w:cs="Arial"/>
          <w:b/>
          <w:color w:val="auto"/>
        </w:rPr>
      </w:pPr>
    </w:p>
    <w:p w:rsidR="008A09B6" w:rsidRPr="006102C3" w:rsidRDefault="008A09B6" w:rsidP="006102C3">
      <w:pPr>
        <w:pStyle w:val="B1BodyText"/>
        <w:spacing w:line="360" w:lineRule="auto"/>
        <w:rPr>
          <w:rFonts w:cs="Arial"/>
          <w:b/>
          <w:color w:val="auto"/>
        </w:rPr>
      </w:pPr>
    </w:p>
    <w:p w:rsidR="008A09B6" w:rsidRPr="006102C3" w:rsidRDefault="008A09B6" w:rsidP="006102C3">
      <w:pPr>
        <w:pStyle w:val="B1BodyText"/>
        <w:spacing w:line="360" w:lineRule="auto"/>
        <w:rPr>
          <w:rFonts w:cs="Arial"/>
          <w:b/>
          <w:color w:val="auto"/>
        </w:rPr>
      </w:pPr>
    </w:p>
    <w:p w:rsidR="008A09B6" w:rsidRPr="006102C3" w:rsidRDefault="008A09B6" w:rsidP="006102C3">
      <w:pPr>
        <w:pStyle w:val="B1BodyText"/>
        <w:spacing w:line="360" w:lineRule="auto"/>
        <w:rPr>
          <w:rFonts w:cs="Arial"/>
          <w:b/>
          <w:color w:val="auto"/>
        </w:rPr>
      </w:pPr>
    </w:p>
    <w:p w:rsidR="008A09B6" w:rsidRPr="006102C3" w:rsidRDefault="008A09B6" w:rsidP="006102C3">
      <w:pPr>
        <w:pStyle w:val="B1BodyText"/>
        <w:spacing w:line="360" w:lineRule="auto"/>
        <w:rPr>
          <w:rFonts w:cs="Arial"/>
          <w:b/>
          <w:color w:val="auto"/>
        </w:rPr>
      </w:pPr>
    </w:p>
    <w:p w:rsidR="008A09B6" w:rsidRPr="006102C3" w:rsidRDefault="008A09B6" w:rsidP="006102C3">
      <w:pPr>
        <w:pStyle w:val="B1BodyText"/>
        <w:spacing w:line="360" w:lineRule="auto"/>
        <w:rPr>
          <w:rFonts w:cs="Arial"/>
          <w:b/>
          <w:color w:val="auto"/>
        </w:rPr>
      </w:pPr>
    </w:p>
    <w:p w:rsidR="008A09B6" w:rsidRPr="006102C3" w:rsidRDefault="008A09B6" w:rsidP="006102C3">
      <w:pPr>
        <w:pStyle w:val="B1BodyText"/>
        <w:spacing w:line="360" w:lineRule="auto"/>
        <w:rPr>
          <w:rFonts w:cs="Arial"/>
          <w:b/>
          <w:color w:val="auto"/>
        </w:rPr>
      </w:pPr>
    </w:p>
    <w:p w:rsidR="008A09B6" w:rsidRPr="006102C3" w:rsidRDefault="008A09B6" w:rsidP="006102C3">
      <w:pPr>
        <w:pStyle w:val="B1BodyText"/>
        <w:spacing w:line="360" w:lineRule="auto"/>
        <w:rPr>
          <w:rFonts w:cs="Arial"/>
          <w:b/>
          <w:color w:val="auto"/>
        </w:rPr>
      </w:pPr>
    </w:p>
    <w:p w:rsidR="008A09B6" w:rsidRPr="006102C3" w:rsidRDefault="008A09B6" w:rsidP="006102C3">
      <w:pPr>
        <w:pStyle w:val="B1BodyText"/>
        <w:spacing w:line="360" w:lineRule="auto"/>
        <w:rPr>
          <w:rFonts w:cs="Arial"/>
          <w:b/>
          <w:color w:val="auto"/>
        </w:rPr>
      </w:pPr>
    </w:p>
    <w:p w:rsidR="008A09B6" w:rsidRPr="006102C3" w:rsidRDefault="008A09B6" w:rsidP="006102C3">
      <w:pPr>
        <w:pStyle w:val="B1BodyText"/>
        <w:spacing w:line="360" w:lineRule="auto"/>
        <w:rPr>
          <w:rFonts w:cs="Arial"/>
          <w:b/>
          <w:color w:val="auto"/>
        </w:rPr>
      </w:pPr>
    </w:p>
    <w:p w:rsidR="008A09B6" w:rsidRPr="006102C3" w:rsidRDefault="008A09B6" w:rsidP="006102C3">
      <w:pPr>
        <w:pStyle w:val="B1BodyText"/>
        <w:spacing w:line="360" w:lineRule="auto"/>
        <w:rPr>
          <w:rFonts w:cs="Arial"/>
          <w:i/>
          <w:color w:val="auto"/>
        </w:rPr>
      </w:pPr>
      <w:r w:rsidRPr="006102C3">
        <w:rPr>
          <w:rFonts w:cs="Arial"/>
          <w:i/>
          <w:color w:val="auto"/>
        </w:rPr>
        <w:t>Investigation Committee</w:t>
      </w:r>
    </w:p>
    <w:p w:rsidR="00B92CD9" w:rsidRPr="006102C3" w:rsidRDefault="006D3DF8" w:rsidP="006102C3">
      <w:pPr>
        <w:pStyle w:val="B1BodyText"/>
        <w:spacing w:line="360" w:lineRule="auto"/>
        <w:rPr>
          <w:rFonts w:cs="Arial"/>
          <w:color w:val="auto"/>
        </w:rPr>
      </w:pPr>
      <w:r w:rsidRPr="006102C3">
        <w:rPr>
          <w:rFonts w:cs="Arial"/>
          <w:color w:val="auto"/>
        </w:rPr>
        <w:t>Where the ICAEW member or firm cannot reach a solution with the complainant by conciliation the ICAEW will refer the matter to the Investigation Committee</w:t>
      </w:r>
      <w:r w:rsidR="002F1351" w:rsidRPr="006102C3">
        <w:rPr>
          <w:rFonts w:cs="Arial"/>
          <w:color w:val="auto"/>
        </w:rPr>
        <w:t xml:space="preserve"> in order to determine whether the member or firm has a case to answer</w:t>
      </w:r>
      <w:r w:rsidRPr="006102C3">
        <w:rPr>
          <w:rFonts w:cs="Arial"/>
          <w:color w:val="auto"/>
        </w:rPr>
        <w:t>. According to the ICAEW</w:t>
      </w:r>
      <w:r w:rsidR="006102C3">
        <w:rPr>
          <w:rFonts w:cs="Arial"/>
          <w:color w:val="auto"/>
        </w:rPr>
        <w:t>,</w:t>
      </w:r>
      <w:r w:rsidRPr="006102C3">
        <w:rPr>
          <w:rFonts w:cs="Arial"/>
          <w:color w:val="auto"/>
        </w:rPr>
        <w:t xml:space="preserve"> </w:t>
      </w:r>
      <w:r w:rsidRPr="006102C3">
        <w:rPr>
          <w:rFonts w:cs="Arial"/>
          <w:color w:val="auto"/>
        </w:rPr>
        <w:lastRenderedPageBreak/>
        <w:t>this committee ‘c</w:t>
      </w:r>
      <w:r w:rsidR="00B92CD9" w:rsidRPr="006102C3">
        <w:rPr>
          <w:rFonts w:cs="Arial"/>
          <w:color w:val="auto"/>
        </w:rPr>
        <w:t>onsists of at least 14 people of whom at least 25% are not chartered accountants.</w:t>
      </w:r>
      <w:r w:rsidRPr="006102C3">
        <w:rPr>
          <w:rFonts w:cs="Arial"/>
          <w:color w:val="auto"/>
        </w:rPr>
        <w:t>’</w:t>
      </w:r>
      <w:r w:rsidR="00B92CD9" w:rsidRPr="006102C3">
        <w:rPr>
          <w:rFonts w:cs="Arial"/>
          <w:color w:val="auto"/>
        </w:rPr>
        <w:t xml:space="preserve"> </w:t>
      </w:r>
      <w:r w:rsidR="00990546" w:rsidRPr="006102C3">
        <w:rPr>
          <w:rFonts w:cs="Arial"/>
          <w:color w:val="auto"/>
          <w:szCs w:val="22"/>
        </w:rPr>
        <w:t>The chair of the IC can be a lay</w:t>
      </w:r>
      <w:r w:rsidR="00DD3866" w:rsidRPr="006102C3">
        <w:rPr>
          <w:rFonts w:cs="Arial"/>
          <w:color w:val="auto"/>
          <w:szCs w:val="22"/>
        </w:rPr>
        <w:t xml:space="preserve"> </w:t>
      </w:r>
      <w:r w:rsidR="00990546" w:rsidRPr="006102C3">
        <w:rPr>
          <w:rFonts w:cs="Arial"/>
          <w:color w:val="auto"/>
          <w:szCs w:val="22"/>
        </w:rPr>
        <w:t xml:space="preserve">person or </w:t>
      </w:r>
      <w:proofErr w:type="gramStart"/>
      <w:r w:rsidR="00990546" w:rsidRPr="006102C3">
        <w:rPr>
          <w:rFonts w:cs="Arial"/>
          <w:color w:val="auto"/>
          <w:szCs w:val="22"/>
        </w:rPr>
        <w:t>an accountancy</w:t>
      </w:r>
      <w:proofErr w:type="gramEnd"/>
      <w:r w:rsidR="00990546" w:rsidRPr="006102C3">
        <w:rPr>
          <w:rFonts w:cs="Arial"/>
          <w:color w:val="auto"/>
          <w:szCs w:val="22"/>
        </w:rPr>
        <w:t xml:space="preserve"> professional.</w:t>
      </w:r>
      <w:r w:rsidR="00E357CA" w:rsidRPr="006102C3">
        <w:rPr>
          <w:rStyle w:val="FootnoteReference"/>
          <w:rFonts w:cs="Arial"/>
          <w:color w:val="auto"/>
          <w:szCs w:val="22"/>
        </w:rPr>
        <w:footnoteReference w:id="19"/>
      </w:r>
      <w:r w:rsidR="00990546" w:rsidRPr="006102C3">
        <w:rPr>
          <w:rFonts w:cs="Arial"/>
          <w:color w:val="auto"/>
          <w:szCs w:val="22"/>
        </w:rPr>
        <w:t xml:space="preserve"> </w:t>
      </w:r>
    </w:p>
    <w:p w:rsidR="00B92CD9" w:rsidRPr="006102C3" w:rsidRDefault="00B92CD9" w:rsidP="006102C3">
      <w:pPr>
        <w:pStyle w:val="B1BodyText"/>
        <w:spacing w:line="360" w:lineRule="auto"/>
        <w:rPr>
          <w:rFonts w:cs="Arial"/>
          <w:i/>
          <w:color w:val="auto"/>
        </w:rPr>
      </w:pPr>
      <w:r w:rsidRPr="006102C3">
        <w:rPr>
          <w:rFonts w:cs="Arial"/>
          <w:i/>
          <w:color w:val="auto"/>
        </w:rPr>
        <w:t>Disciplinary Committee</w:t>
      </w:r>
    </w:p>
    <w:p w:rsidR="006B4C63" w:rsidRPr="006102C3" w:rsidRDefault="00B92CD9" w:rsidP="006102C3">
      <w:pPr>
        <w:pStyle w:val="B1BodyText"/>
        <w:spacing w:line="360" w:lineRule="auto"/>
        <w:rPr>
          <w:rFonts w:cs="Arial"/>
          <w:color w:val="auto"/>
        </w:rPr>
      </w:pPr>
      <w:r w:rsidRPr="006102C3">
        <w:rPr>
          <w:rFonts w:cs="Arial"/>
          <w:color w:val="auto"/>
        </w:rPr>
        <w:t>Where the Investigation Committee believes that an ICAEW member or firm has a case to offer it can refer the complaint to the Disciplinary Committee.</w:t>
      </w:r>
    </w:p>
    <w:p w:rsidR="00B92CD9" w:rsidRPr="006102C3" w:rsidRDefault="006B4C63" w:rsidP="006102C3">
      <w:pPr>
        <w:pStyle w:val="B1BodyText"/>
        <w:spacing w:line="360" w:lineRule="auto"/>
        <w:rPr>
          <w:rFonts w:cs="Arial"/>
          <w:color w:val="auto"/>
        </w:rPr>
      </w:pPr>
      <w:r w:rsidRPr="006102C3">
        <w:rPr>
          <w:rFonts w:cs="Arial"/>
          <w:color w:val="auto"/>
        </w:rPr>
        <w:t xml:space="preserve">This committee is composed of three people- two chartered accountants and one layperson. </w:t>
      </w:r>
      <w:r w:rsidR="00EB18E3" w:rsidRPr="006102C3">
        <w:rPr>
          <w:rFonts w:cs="Arial"/>
          <w:color w:val="auto"/>
        </w:rPr>
        <w:t>Currently, there is no requirement for the chairperson to be an accountancy professional or a layperson. However</w:t>
      </w:r>
      <w:r w:rsidR="00034DDA" w:rsidRPr="006102C3">
        <w:rPr>
          <w:rFonts w:cs="Arial"/>
          <w:color w:val="auto"/>
        </w:rPr>
        <w:t>,</w:t>
      </w:r>
      <w:r w:rsidR="00EB18E3" w:rsidRPr="006102C3">
        <w:rPr>
          <w:rFonts w:cs="Arial"/>
          <w:color w:val="auto"/>
        </w:rPr>
        <w:t xml:space="preserve"> this will change from 2016.</w:t>
      </w:r>
      <w:r w:rsidR="00E357CA" w:rsidRPr="006102C3">
        <w:rPr>
          <w:rStyle w:val="FootnoteReference"/>
          <w:rFonts w:cs="Arial"/>
          <w:color w:val="auto"/>
        </w:rPr>
        <w:footnoteReference w:id="20"/>
      </w:r>
      <w:r w:rsidR="00EB18E3" w:rsidRPr="006102C3">
        <w:rPr>
          <w:rFonts w:cs="Arial"/>
          <w:color w:val="auto"/>
        </w:rPr>
        <w:t xml:space="preserve">  </w:t>
      </w:r>
    </w:p>
    <w:p w:rsidR="006B4C63" w:rsidRPr="006102C3" w:rsidRDefault="006B4C63" w:rsidP="006102C3">
      <w:pPr>
        <w:pStyle w:val="B1BodyText"/>
        <w:spacing w:line="360" w:lineRule="auto"/>
        <w:rPr>
          <w:rFonts w:cs="Arial"/>
          <w:color w:val="auto"/>
        </w:rPr>
      </w:pPr>
      <w:r w:rsidRPr="006102C3">
        <w:rPr>
          <w:rFonts w:cs="Arial"/>
          <w:color w:val="auto"/>
        </w:rPr>
        <w:t>The case is presented to the committee by a</w:t>
      </w:r>
      <w:r w:rsidR="00B92CD9" w:rsidRPr="006102C3">
        <w:rPr>
          <w:rFonts w:cs="Arial"/>
          <w:color w:val="auto"/>
        </w:rPr>
        <w:t>n ICA</w:t>
      </w:r>
      <w:r w:rsidRPr="006102C3">
        <w:rPr>
          <w:rFonts w:cs="Arial"/>
          <w:color w:val="auto"/>
        </w:rPr>
        <w:t>EW member of staff or barrister and a</w:t>
      </w:r>
      <w:r w:rsidR="00B92CD9" w:rsidRPr="006102C3">
        <w:rPr>
          <w:rFonts w:cs="Arial"/>
          <w:color w:val="auto"/>
        </w:rPr>
        <w:t xml:space="preserve"> legal assessor</w:t>
      </w:r>
      <w:r w:rsidRPr="006102C3">
        <w:rPr>
          <w:rFonts w:cs="Arial"/>
          <w:color w:val="auto"/>
        </w:rPr>
        <w:t xml:space="preserve"> (an independent solicitor or barrister)</w:t>
      </w:r>
      <w:r w:rsidR="00B92CD9" w:rsidRPr="006102C3">
        <w:rPr>
          <w:rFonts w:cs="Arial"/>
          <w:color w:val="auto"/>
        </w:rPr>
        <w:t xml:space="preserve"> </w:t>
      </w:r>
      <w:r w:rsidRPr="006102C3">
        <w:rPr>
          <w:rFonts w:cs="Arial"/>
          <w:color w:val="auto"/>
        </w:rPr>
        <w:t>‘</w:t>
      </w:r>
      <w:r w:rsidR="00B92CD9" w:rsidRPr="006102C3">
        <w:rPr>
          <w:rFonts w:cs="Arial"/>
          <w:color w:val="auto"/>
        </w:rPr>
        <w:t>advises the tribunal on law and procedure but isn’t involved in taking decisions</w:t>
      </w:r>
      <w:r w:rsidRPr="006102C3">
        <w:rPr>
          <w:rFonts w:cs="Arial"/>
          <w:color w:val="auto"/>
        </w:rPr>
        <w:t>.’</w:t>
      </w:r>
      <w:r w:rsidR="00E357CA" w:rsidRPr="006102C3">
        <w:rPr>
          <w:rStyle w:val="FootnoteReference"/>
          <w:rFonts w:cs="Arial"/>
          <w:color w:val="auto"/>
        </w:rPr>
        <w:footnoteReference w:id="21"/>
      </w:r>
      <w:r w:rsidR="00B92CD9" w:rsidRPr="006102C3">
        <w:rPr>
          <w:rFonts w:cs="Arial"/>
          <w:color w:val="auto"/>
        </w:rPr>
        <w:t xml:space="preserve"> </w:t>
      </w:r>
    </w:p>
    <w:p w:rsidR="00B92CD9" w:rsidRPr="006102C3" w:rsidRDefault="00B92CD9" w:rsidP="006102C3">
      <w:pPr>
        <w:pStyle w:val="B1BodyText"/>
        <w:spacing w:line="360" w:lineRule="auto"/>
        <w:rPr>
          <w:rFonts w:cs="Arial"/>
          <w:i/>
          <w:color w:val="auto"/>
        </w:rPr>
      </w:pPr>
      <w:r w:rsidRPr="006102C3">
        <w:rPr>
          <w:rFonts w:cs="Arial"/>
          <w:i/>
          <w:color w:val="auto"/>
        </w:rPr>
        <w:t>Appeal Committee</w:t>
      </w:r>
    </w:p>
    <w:p w:rsidR="00B92CD9" w:rsidRPr="006102C3" w:rsidRDefault="00E20900" w:rsidP="006102C3">
      <w:pPr>
        <w:pStyle w:val="B1BodyText"/>
        <w:spacing w:line="360" w:lineRule="auto"/>
        <w:rPr>
          <w:rFonts w:cs="Arial"/>
          <w:color w:val="auto"/>
        </w:rPr>
      </w:pPr>
      <w:r w:rsidRPr="006102C3">
        <w:rPr>
          <w:rFonts w:cs="Arial"/>
          <w:color w:val="auto"/>
        </w:rPr>
        <w:t>The ICAEW clearly state that the Appeal Committee is comprised of</w:t>
      </w:r>
      <w:r w:rsidR="00B92CD9" w:rsidRPr="006102C3">
        <w:rPr>
          <w:rFonts w:cs="Arial"/>
          <w:color w:val="auto"/>
        </w:rPr>
        <w:t xml:space="preserve"> </w:t>
      </w:r>
      <w:r w:rsidRPr="006102C3">
        <w:rPr>
          <w:rFonts w:cs="Arial"/>
          <w:color w:val="auto"/>
        </w:rPr>
        <w:t>‘</w:t>
      </w:r>
      <w:r w:rsidR="00B92CD9" w:rsidRPr="006102C3">
        <w:rPr>
          <w:rFonts w:cs="Arial"/>
          <w:color w:val="auto"/>
        </w:rPr>
        <w:t>panels of five people: three chartered accountants, one non-accountant and a legally qualified chairman.</w:t>
      </w:r>
      <w:r w:rsidRPr="006102C3">
        <w:rPr>
          <w:rFonts w:cs="Arial"/>
          <w:color w:val="auto"/>
        </w:rPr>
        <w:t>’</w:t>
      </w:r>
      <w:r w:rsidR="00DD3866" w:rsidRPr="006102C3">
        <w:rPr>
          <w:rStyle w:val="FootnoteReference"/>
          <w:rFonts w:cs="Arial"/>
          <w:color w:val="auto"/>
        </w:rPr>
        <w:footnoteReference w:id="22"/>
      </w:r>
      <w:r w:rsidR="00351C19" w:rsidRPr="006102C3">
        <w:rPr>
          <w:rFonts w:cs="Arial"/>
          <w:color w:val="auto"/>
        </w:rPr>
        <w:t xml:space="preserve"> </w:t>
      </w:r>
      <w:r w:rsidR="00990546" w:rsidRPr="006102C3">
        <w:rPr>
          <w:rFonts w:cs="Arial"/>
          <w:color w:val="auto"/>
        </w:rPr>
        <w:t>According to an ICAEW committee secretary, ‘the chairperson of the Appeal Committee has to be a senior barrister and/or QC.’</w:t>
      </w:r>
      <w:r w:rsidR="00E357CA" w:rsidRPr="006102C3">
        <w:rPr>
          <w:rStyle w:val="FootnoteReference"/>
          <w:rFonts w:cs="Arial"/>
          <w:color w:val="auto"/>
        </w:rPr>
        <w:footnoteReference w:id="23"/>
      </w:r>
    </w:p>
    <w:p w:rsidR="00E76A1F" w:rsidRPr="006102C3" w:rsidRDefault="00E76A1F" w:rsidP="006102C3">
      <w:pPr>
        <w:pStyle w:val="H1SectionHead"/>
        <w:spacing w:line="360" w:lineRule="auto"/>
        <w:rPr>
          <w:rFonts w:cs="Arial"/>
          <w:color w:val="auto"/>
        </w:rPr>
      </w:pPr>
      <w:r w:rsidRPr="006102C3">
        <w:rPr>
          <w:rFonts w:cs="Arial"/>
          <w:color w:val="auto"/>
        </w:rPr>
        <w:t>3   Medicine</w:t>
      </w:r>
    </w:p>
    <w:p w:rsidR="00E224C3" w:rsidRPr="006102C3" w:rsidRDefault="00E224C3" w:rsidP="006102C3">
      <w:pPr>
        <w:pStyle w:val="B1BodyText"/>
        <w:spacing w:line="360" w:lineRule="auto"/>
        <w:rPr>
          <w:rFonts w:cs="Arial"/>
          <w:color w:val="auto"/>
        </w:rPr>
      </w:pPr>
      <w:r w:rsidRPr="006102C3">
        <w:rPr>
          <w:rFonts w:cs="Arial"/>
          <w:color w:val="auto"/>
        </w:rPr>
        <w:t>The two organisations which regulate the medical profession in the UK and the Republic of Ireland are the General Medical Council and the Medical Council, respectively.</w:t>
      </w:r>
    </w:p>
    <w:p w:rsidR="00E224C3" w:rsidRPr="006102C3" w:rsidRDefault="00E224C3" w:rsidP="006102C3">
      <w:pPr>
        <w:pStyle w:val="B1BodyText"/>
        <w:spacing w:line="360" w:lineRule="auto"/>
        <w:rPr>
          <w:rFonts w:cs="Arial"/>
          <w:b/>
          <w:color w:val="auto"/>
        </w:rPr>
      </w:pPr>
      <w:r w:rsidRPr="006102C3">
        <w:rPr>
          <w:rFonts w:cs="Arial"/>
          <w:b/>
          <w:color w:val="auto"/>
        </w:rPr>
        <w:t>General Medical Council (GMC)</w:t>
      </w:r>
    </w:p>
    <w:p w:rsidR="006102C3" w:rsidRPr="006926E7" w:rsidRDefault="00E224C3" w:rsidP="006926E7">
      <w:pPr>
        <w:pStyle w:val="B1BodyText"/>
        <w:spacing w:line="360" w:lineRule="auto"/>
        <w:rPr>
          <w:rFonts w:cs="Arial"/>
          <w:color w:val="auto"/>
        </w:rPr>
      </w:pPr>
      <w:r w:rsidRPr="006102C3">
        <w:rPr>
          <w:rFonts w:cs="Arial"/>
          <w:color w:val="auto"/>
        </w:rPr>
        <w:t xml:space="preserve">As part of its complaints procedure the GMC </w:t>
      </w:r>
      <w:r w:rsidR="00E00ECF" w:rsidRPr="006102C3">
        <w:rPr>
          <w:rFonts w:cs="Arial"/>
          <w:color w:val="auto"/>
        </w:rPr>
        <w:t xml:space="preserve">has case examiners and establishes an interim orders panel and a fitness to practice panel. </w:t>
      </w:r>
      <w:r w:rsidRPr="006102C3">
        <w:rPr>
          <w:rFonts w:cs="Arial"/>
          <w:color w:val="auto"/>
        </w:rPr>
        <w:t xml:space="preserve"> </w:t>
      </w:r>
    </w:p>
    <w:p w:rsidR="001340EA" w:rsidRDefault="001340EA" w:rsidP="006102C3">
      <w:pPr>
        <w:pStyle w:val="B1BodyText"/>
        <w:spacing w:line="360" w:lineRule="auto"/>
        <w:rPr>
          <w:rFonts w:cs="Arial"/>
          <w:i/>
          <w:color w:val="auto"/>
        </w:rPr>
      </w:pPr>
    </w:p>
    <w:p w:rsidR="001340EA" w:rsidRDefault="001340EA" w:rsidP="006102C3">
      <w:pPr>
        <w:pStyle w:val="B1BodyText"/>
        <w:spacing w:line="360" w:lineRule="auto"/>
        <w:rPr>
          <w:rFonts w:cs="Arial"/>
          <w:i/>
          <w:color w:val="auto"/>
        </w:rPr>
      </w:pPr>
    </w:p>
    <w:p w:rsidR="0031656A" w:rsidRPr="006102C3" w:rsidRDefault="0031656A" w:rsidP="006102C3">
      <w:pPr>
        <w:pStyle w:val="B1BodyText"/>
        <w:spacing w:line="360" w:lineRule="auto"/>
        <w:rPr>
          <w:rFonts w:cs="Arial"/>
          <w:i/>
          <w:color w:val="auto"/>
        </w:rPr>
      </w:pPr>
      <w:r w:rsidRPr="006102C3">
        <w:rPr>
          <w:rFonts w:cs="Arial"/>
          <w:i/>
          <w:color w:val="auto"/>
        </w:rPr>
        <w:lastRenderedPageBreak/>
        <w:t>Case Examiners</w:t>
      </w:r>
    </w:p>
    <w:p w:rsidR="00433FBE" w:rsidRPr="006102C3" w:rsidRDefault="00F45D84" w:rsidP="006102C3">
      <w:pPr>
        <w:pStyle w:val="B1BodyText"/>
        <w:spacing w:line="360" w:lineRule="auto"/>
        <w:rPr>
          <w:rFonts w:cs="Arial"/>
          <w:color w:val="auto"/>
        </w:rPr>
      </w:pPr>
      <w:r w:rsidRPr="006102C3">
        <w:rPr>
          <w:rFonts w:cs="Arial"/>
          <w:color w:val="auto"/>
        </w:rPr>
        <w:t xml:space="preserve">Case examiners (two senior GMC staff members) act at the investigation stage of a complaint to consider the case once information (for example, medical records, written complaint, doctor’s response and so on) has been received from both the complainant and the doctor. One of the case examiners is a doctor and the other is a layperson. </w:t>
      </w:r>
    </w:p>
    <w:p w:rsidR="0031656A" w:rsidRPr="006102C3" w:rsidRDefault="00433FBE" w:rsidP="006102C3">
      <w:pPr>
        <w:pStyle w:val="B1BodyText"/>
        <w:spacing w:line="360" w:lineRule="auto"/>
        <w:rPr>
          <w:rFonts w:cs="Arial"/>
          <w:color w:val="auto"/>
        </w:rPr>
      </w:pPr>
      <w:r w:rsidRPr="006102C3">
        <w:rPr>
          <w:rFonts w:cs="Arial"/>
          <w:color w:val="auto"/>
        </w:rPr>
        <w:t>The case examiners will contemplate whether ‘the concerns are serious enough for the doctor to attend a hearing.’</w:t>
      </w:r>
      <w:r w:rsidR="0031656A" w:rsidRPr="006102C3">
        <w:rPr>
          <w:rFonts w:cs="Arial"/>
          <w:color w:val="auto"/>
        </w:rPr>
        <w:t xml:space="preserve"> Where </w:t>
      </w:r>
      <w:r w:rsidRPr="006102C3">
        <w:rPr>
          <w:rFonts w:cs="Arial"/>
          <w:color w:val="auto"/>
        </w:rPr>
        <w:t xml:space="preserve">there </w:t>
      </w:r>
      <w:r w:rsidR="0031656A" w:rsidRPr="006102C3">
        <w:rPr>
          <w:rFonts w:cs="Arial"/>
          <w:color w:val="auto"/>
        </w:rPr>
        <w:t>are grounds</w:t>
      </w:r>
      <w:r w:rsidRPr="006102C3">
        <w:rPr>
          <w:rFonts w:cs="Arial"/>
          <w:color w:val="auto"/>
        </w:rPr>
        <w:t xml:space="preserve"> for a hearing the case examiners will refer the complaint to </w:t>
      </w:r>
      <w:proofErr w:type="gramStart"/>
      <w:r w:rsidRPr="006102C3">
        <w:rPr>
          <w:rFonts w:cs="Arial"/>
          <w:color w:val="auto"/>
        </w:rPr>
        <w:t>a Fitness</w:t>
      </w:r>
      <w:proofErr w:type="gramEnd"/>
      <w:r w:rsidRPr="006102C3">
        <w:rPr>
          <w:rFonts w:cs="Arial"/>
          <w:color w:val="auto"/>
        </w:rPr>
        <w:t xml:space="preserve"> to Practice Panel (FTPP) of the Medical Practitioners Tribunal Service (MPTS).</w:t>
      </w:r>
      <w:r w:rsidR="00E357CA" w:rsidRPr="006102C3">
        <w:rPr>
          <w:rStyle w:val="FootnoteReference"/>
          <w:rFonts w:cs="Arial"/>
          <w:color w:val="auto"/>
        </w:rPr>
        <w:footnoteReference w:id="24"/>
      </w:r>
      <w:r w:rsidRPr="006102C3">
        <w:rPr>
          <w:rFonts w:cs="Arial"/>
          <w:color w:val="auto"/>
        </w:rPr>
        <w:t xml:space="preserve"> </w:t>
      </w:r>
      <w:r w:rsidR="00F45D84" w:rsidRPr="006102C3">
        <w:rPr>
          <w:rFonts w:cs="Arial"/>
          <w:color w:val="auto"/>
        </w:rPr>
        <w:t xml:space="preserve">  </w:t>
      </w:r>
    </w:p>
    <w:p w:rsidR="0031656A" w:rsidRPr="006102C3" w:rsidRDefault="0031656A" w:rsidP="006102C3">
      <w:pPr>
        <w:pStyle w:val="B1BodyText"/>
        <w:spacing w:line="360" w:lineRule="auto"/>
        <w:rPr>
          <w:rFonts w:cs="Arial"/>
          <w:i/>
          <w:color w:val="auto"/>
        </w:rPr>
      </w:pPr>
      <w:r w:rsidRPr="006102C3">
        <w:rPr>
          <w:rFonts w:cs="Arial"/>
          <w:i/>
          <w:color w:val="auto"/>
        </w:rPr>
        <w:t>Fitness to Practice Panel</w:t>
      </w:r>
    </w:p>
    <w:p w:rsidR="00AD5815" w:rsidRPr="006102C3" w:rsidRDefault="00693095" w:rsidP="006102C3">
      <w:pPr>
        <w:spacing w:after="192" w:line="360" w:lineRule="auto"/>
        <w:ind w:left="567"/>
        <w:rPr>
          <w:rFonts w:ascii="Arial" w:hAnsi="Arial" w:cs="Arial"/>
          <w:sz w:val="22"/>
          <w:szCs w:val="22"/>
          <w:lang w:val="en-GB" w:eastAsia="en-GB"/>
        </w:rPr>
      </w:pPr>
      <w:r w:rsidRPr="006102C3">
        <w:rPr>
          <w:rFonts w:ascii="Arial" w:hAnsi="Arial" w:cs="Arial"/>
          <w:sz w:val="22"/>
          <w:szCs w:val="22"/>
          <w:lang w:val="en-GB" w:eastAsia="en-GB"/>
        </w:rPr>
        <w:t>According to the MPTS</w:t>
      </w:r>
      <w:r w:rsidR="001302C7" w:rsidRPr="006102C3">
        <w:rPr>
          <w:rFonts w:ascii="Arial" w:hAnsi="Arial" w:cs="Arial"/>
          <w:sz w:val="22"/>
          <w:szCs w:val="22"/>
          <w:lang w:val="en-GB" w:eastAsia="en-GB"/>
        </w:rPr>
        <w:t>,</w:t>
      </w:r>
      <w:r w:rsidRPr="006102C3">
        <w:rPr>
          <w:rFonts w:ascii="Arial" w:hAnsi="Arial" w:cs="Arial"/>
          <w:sz w:val="22"/>
          <w:szCs w:val="22"/>
          <w:lang w:val="en-GB" w:eastAsia="en-GB"/>
        </w:rPr>
        <w:t xml:space="preserve"> the FTPP </w:t>
      </w:r>
      <w:r w:rsidR="00AD5815" w:rsidRPr="006102C3">
        <w:rPr>
          <w:rFonts w:ascii="Arial" w:hAnsi="Arial" w:cs="Arial"/>
          <w:sz w:val="22"/>
          <w:szCs w:val="22"/>
          <w:lang w:val="en-GB" w:eastAsia="en-GB"/>
        </w:rPr>
        <w:t>inquire</w:t>
      </w:r>
      <w:r w:rsidRPr="006102C3">
        <w:rPr>
          <w:rFonts w:ascii="Arial" w:hAnsi="Arial" w:cs="Arial"/>
          <w:sz w:val="22"/>
          <w:szCs w:val="22"/>
          <w:lang w:val="en-GB" w:eastAsia="en-GB"/>
        </w:rPr>
        <w:t>s</w:t>
      </w:r>
      <w:r w:rsidR="00AD5815" w:rsidRPr="006102C3">
        <w:rPr>
          <w:rFonts w:ascii="Arial" w:hAnsi="Arial" w:cs="Arial"/>
          <w:sz w:val="22"/>
          <w:szCs w:val="22"/>
          <w:lang w:val="en-GB" w:eastAsia="en-GB"/>
        </w:rPr>
        <w:t xml:space="preserve"> </w:t>
      </w:r>
      <w:r w:rsidRPr="006102C3">
        <w:rPr>
          <w:rFonts w:ascii="Arial" w:hAnsi="Arial" w:cs="Arial"/>
          <w:sz w:val="22"/>
          <w:szCs w:val="22"/>
          <w:lang w:val="en-GB" w:eastAsia="en-GB"/>
        </w:rPr>
        <w:t>‘</w:t>
      </w:r>
      <w:r w:rsidR="00AD5815" w:rsidRPr="006102C3">
        <w:rPr>
          <w:rFonts w:ascii="Arial" w:hAnsi="Arial" w:cs="Arial"/>
          <w:sz w:val="22"/>
          <w:szCs w:val="22"/>
          <w:lang w:val="en-GB" w:eastAsia="en-GB"/>
        </w:rPr>
        <w:t>into allegations of impaired fitness to practise.</w:t>
      </w:r>
      <w:r w:rsidRPr="006102C3">
        <w:rPr>
          <w:rFonts w:ascii="Arial" w:hAnsi="Arial" w:cs="Arial"/>
          <w:sz w:val="22"/>
          <w:szCs w:val="22"/>
          <w:lang w:val="en-GB" w:eastAsia="en-GB"/>
        </w:rPr>
        <w:t>’</w:t>
      </w:r>
      <w:r w:rsidR="00034DDA" w:rsidRPr="006102C3">
        <w:rPr>
          <w:rFonts w:ascii="Arial" w:hAnsi="Arial" w:cs="Arial"/>
          <w:sz w:val="22"/>
          <w:szCs w:val="22"/>
          <w:lang w:val="en-GB" w:eastAsia="en-GB"/>
        </w:rPr>
        <w:t xml:space="preserve"> </w:t>
      </w:r>
      <w:r w:rsidRPr="006102C3">
        <w:rPr>
          <w:rFonts w:ascii="Arial" w:hAnsi="Arial" w:cs="Arial"/>
          <w:sz w:val="22"/>
          <w:szCs w:val="22"/>
          <w:lang w:val="en-GB" w:eastAsia="en-GB"/>
        </w:rPr>
        <w:t>Panellists are recruited openly by t</w:t>
      </w:r>
      <w:r w:rsidR="00AD5815" w:rsidRPr="006102C3">
        <w:rPr>
          <w:rFonts w:ascii="Arial" w:hAnsi="Arial" w:cs="Arial"/>
          <w:sz w:val="22"/>
          <w:szCs w:val="22"/>
          <w:lang w:val="en-GB" w:eastAsia="en-GB"/>
        </w:rPr>
        <w:t>he</w:t>
      </w:r>
      <w:r w:rsidRPr="006102C3">
        <w:rPr>
          <w:rFonts w:ascii="Arial" w:hAnsi="Arial" w:cs="Arial"/>
          <w:sz w:val="22"/>
          <w:szCs w:val="22"/>
          <w:lang w:val="en-GB" w:eastAsia="en-GB"/>
        </w:rPr>
        <w:t xml:space="preserve"> MPTS and suitability is determined in relation to </w:t>
      </w:r>
      <w:r w:rsidR="00034DDA" w:rsidRPr="006102C3">
        <w:rPr>
          <w:rFonts w:ascii="Arial" w:hAnsi="Arial" w:cs="Arial"/>
          <w:sz w:val="22"/>
          <w:szCs w:val="22"/>
          <w:lang w:val="en-GB" w:eastAsia="en-GB"/>
        </w:rPr>
        <w:t xml:space="preserve">a list of agreed competencies. </w:t>
      </w:r>
      <w:r w:rsidR="00AD5815" w:rsidRPr="006102C3">
        <w:rPr>
          <w:rFonts w:ascii="Arial" w:hAnsi="Arial" w:cs="Arial"/>
          <w:sz w:val="22"/>
          <w:szCs w:val="22"/>
          <w:lang w:val="en-GB" w:eastAsia="en-GB"/>
        </w:rPr>
        <w:t>The</w:t>
      </w:r>
      <w:r w:rsidR="001302C7" w:rsidRPr="006102C3">
        <w:rPr>
          <w:rFonts w:ascii="Arial" w:hAnsi="Arial" w:cs="Arial"/>
          <w:sz w:val="22"/>
          <w:szCs w:val="22"/>
          <w:lang w:val="en-GB" w:eastAsia="en-GB"/>
        </w:rPr>
        <w:t xml:space="preserve"> MPTS states that the pool panellists are drawn from contains almost 300 individuals although FTPP cases are heard by a smaller figure- at least three people. These personnel include the Chair, one medical and one non-medical panellist. It is possible for the Chair to be ei</w:t>
      </w:r>
      <w:r w:rsidR="00034DDA" w:rsidRPr="006102C3">
        <w:rPr>
          <w:rFonts w:ascii="Arial" w:hAnsi="Arial" w:cs="Arial"/>
          <w:sz w:val="22"/>
          <w:szCs w:val="22"/>
          <w:lang w:val="en-GB" w:eastAsia="en-GB"/>
        </w:rPr>
        <w:t xml:space="preserve">ther medical or non-medical. </w:t>
      </w:r>
      <w:r w:rsidR="001302C7" w:rsidRPr="006102C3">
        <w:rPr>
          <w:rFonts w:ascii="Arial" w:hAnsi="Arial" w:cs="Arial"/>
          <w:sz w:val="22"/>
          <w:szCs w:val="22"/>
          <w:lang w:val="en-GB" w:eastAsia="en-GB"/>
        </w:rPr>
        <w:t>The panellists are also joined by a legal assessor who ‘</w:t>
      </w:r>
      <w:r w:rsidR="00AD5815" w:rsidRPr="006102C3">
        <w:rPr>
          <w:rFonts w:ascii="Arial" w:hAnsi="Arial" w:cs="Arial"/>
          <w:sz w:val="22"/>
          <w:szCs w:val="22"/>
          <w:lang w:val="en-GB" w:eastAsia="en-GB"/>
        </w:rPr>
        <w:t>advises on points of law and of mixed law and fact, including the procedure and powers of the panel.</w:t>
      </w:r>
      <w:r w:rsidR="001302C7" w:rsidRPr="006102C3">
        <w:rPr>
          <w:rFonts w:ascii="Arial" w:hAnsi="Arial" w:cs="Arial"/>
          <w:sz w:val="22"/>
          <w:szCs w:val="22"/>
          <w:lang w:val="en-GB" w:eastAsia="en-GB"/>
        </w:rPr>
        <w:t>’ However, the attendance of one or more specialist advisers is not compulsory. These advisers ‘</w:t>
      </w:r>
      <w:r w:rsidR="00AD5815" w:rsidRPr="006102C3">
        <w:rPr>
          <w:rFonts w:ascii="Arial" w:hAnsi="Arial" w:cs="Arial"/>
          <w:sz w:val="22"/>
          <w:szCs w:val="22"/>
          <w:lang w:val="en-GB" w:eastAsia="en-GB"/>
        </w:rPr>
        <w:t>provide advice to the panel in relation to medical issues regarding a doctor’s health or performance.</w:t>
      </w:r>
      <w:r w:rsidR="001302C7" w:rsidRPr="006102C3">
        <w:rPr>
          <w:rFonts w:ascii="Arial" w:hAnsi="Arial" w:cs="Arial"/>
          <w:sz w:val="22"/>
          <w:szCs w:val="22"/>
          <w:lang w:val="en-GB" w:eastAsia="en-GB"/>
        </w:rPr>
        <w:t>’</w:t>
      </w:r>
      <w:r w:rsidR="00E357CA" w:rsidRPr="006102C3">
        <w:rPr>
          <w:rStyle w:val="FootnoteReference"/>
          <w:rFonts w:ascii="Arial" w:hAnsi="Arial" w:cs="Arial"/>
          <w:sz w:val="22"/>
          <w:szCs w:val="22"/>
          <w:lang w:val="en-GB" w:eastAsia="en-GB"/>
        </w:rPr>
        <w:footnoteReference w:id="25"/>
      </w:r>
      <w:r w:rsidR="001302C7" w:rsidRPr="006102C3">
        <w:rPr>
          <w:rFonts w:ascii="Arial" w:hAnsi="Arial" w:cs="Arial"/>
          <w:sz w:val="22"/>
          <w:szCs w:val="22"/>
          <w:lang w:val="en-GB" w:eastAsia="en-GB"/>
        </w:rPr>
        <w:t xml:space="preserve"> </w:t>
      </w:r>
    </w:p>
    <w:p w:rsidR="0031656A" w:rsidRPr="006102C3" w:rsidRDefault="00CF37C4" w:rsidP="006102C3">
      <w:pPr>
        <w:pStyle w:val="B1BodyText"/>
        <w:spacing w:line="360" w:lineRule="auto"/>
        <w:rPr>
          <w:rFonts w:cs="Arial"/>
          <w:i/>
          <w:color w:val="auto"/>
        </w:rPr>
      </w:pPr>
      <w:r w:rsidRPr="006102C3">
        <w:rPr>
          <w:rFonts w:cs="Arial"/>
          <w:i/>
          <w:color w:val="auto"/>
        </w:rPr>
        <w:t xml:space="preserve">Appeals </w:t>
      </w:r>
    </w:p>
    <w:p w:rsidR="00CF37C4" w:rsidRPr="006102C3" w:rsidRDefault="00CF37C4" w:rsidP="006102C3">
      <w:pPr>
        <w:spacing w:after="192" w:line="360" w:lineRule="auto"/>
        <w:ind w:left="567"/>
        <w:rPr>
          <w:rFonts w:ascii="Arial" w:hAnsi="Arial" w:cs="Arial"/>
          <w:sz w:val="22"/>
          <w:szCs w:val="22"/>
          <w:lang w:val="en-GB" w:eastAsia="en-GB"/>
        </w:rPr>
      </w:pPr>
      <w:r w:rsidRPr="006102C3">
        <w:rPr>
          <w:rFonts w:ascii="Arial" w:hAnsi="Arial" w:cs="Arial"/>
          <w:sz w:val="22"/>
          <w:szCs w:val="22"/>
          <w:lang w:val="en-GB" w:eastAsia="en-GB"/>
        </w:rPr>
        <w:t xml:space="preserve">Where the FTPP has adjudged that the doctor’s registration be restricted or removed, he/she can appeal the decision via the High Court </w:t>
      </w:r>
      <w:r w:rsidR="00034DDA" w:rsidRPr="006102C3">
        <w:rPr>
          <w:rFonts w:ascii="Arial" w:hAnsi="Arial" w:cs="Arial"/>
          <w:sz w:val="22"/>
          <w:szCs w:val="22"/>
          <w:lang w:val="en-GB" w:eastAsia="en-GB"/>
        </w:rPr>
        <w:t>(Court of Session in Scotland).</w:t>
      </w:r>
      <w:r w:rsidRPr="006102C3">
        <w:rPr>
          <w:rFonts w:ascii="Arial" w:hAnsi="Arial" w:cs="Arial"/>
          <w:sz w:val="22"/>
          <w:szCs w:val="22"/>
          <w:lang w:val="en-GB" w:eastAsia="en-GB"/>
        </w:rPr>
        <w:t>The MPTS notes that the ‘Council for Healthcare Regulatory Excellence may also appeal against certain decisions if they consider the decision was too lenient and does not protect the public.’</w:t>
      </w:r>
      <w:r w:rsidR="00E357CA" w:rsidRPr="006102C3">
        <w:rPr>
          <w:rStyle w:val="FootnoteReference"/>
          <w:rFonts w:ascii="Arial" w:hAnsi="Arial" w:cs="Arial"/>
          <w:sz w:val="22"/>
          <w:szCs w:val="22"/>
          <w:lang w:val="en-GB" w:eastAsia="en-GB"/>
        </w:rPr>
        <w:footnoteReference w:id="26"/>
      </w:r>
      <w:r w:rsidRPr="006102C3">
        <w:rPr>
          <w:rFonts w:ascii="Arial" w:hAnsi="Arial" w:cs="Arial"/>
          <w:sz w:val="22"/>
          <w:szCs w:val="22"/>
          <w:lang w:val="en-GB" w:eastAsia="en-GB"/>
        </w:rPr>
        <w:t xml:space="preserve"> </w:t>
      </w:r>
    </w:p>
    <w:p w:rsidR="00CF37C4" w:rsidRPr="006102C3" w:rsidRDefault="00C54FB4" w:rsidP="006102C3">
      <w:pPr>
        <w:pStyle w:val="B1BodyText"/>
        <w:spacing w:line="360" w:lineRule="auto"/>
        <w:rPr>
          <w:rFonts w:cs="Arial"/>
          <w:i/>
          <w:color w:val="auto"/>
        </w:rPr>
      </w:pPr>
      <w:r w:rsidRPr="006102C3">
        <w:rPr>
          <w:rFonts w:cs="Arial"/>
          <w:i/>
          <w:color w:val="auto"/>
        </w:rPr>
        <w:t>Interim Orders Panels</w:t>
      </w:r>
    </w:p>
    <w:p w:rsidR="006102C3" w:rsidRPr="006102C3" w:rsidRDefault="00C54FB4" w:rsidP="006102C3">
      <w:pPr>
        <w:pStyle w:val="B1BodyText"/>
        <w:spacing w:line="360" w:lineRule="auto"/>
        <w:rPr>
          <w:rFonts w:cs="Arial"/>
          <w:color w:val="auto"/>
        </w:rPr>
      </w:pPr>
      <w:r w:rsidRPr="006102C3">
        <w:rPr>
          <w:rFonts w:cs="Arial"/>
          <w:color w:val="auto"/>
        </w:rPr>
        <w:t xml:space="preserve">At any stage in the investigation process a complaint may be referred to an interim orders panel of the MPTS. These panels are empowered to ‘suspend or impose </w:t>
      </w:r>
      <w:r w:rsidRPr="006102C3">
        <w:rPr>
          <w:rFonts w:cs="Arial"/>
          <w:color w:val="auto"/>
        </w:rPr>
        <w:lastRenderedPageBreak/>
        <w:t>conditions on the doctor’s registration whil</w:t>
      </w:r>
      <w:r w:rsidR="00E357CA" w:rsidRPr="006102C3">
        <w:rPr>
          <w:rFonts w:cs="Arial"/>
          <w:color w:val="auto"/>
        </w:rPr>
        <w:t xml:space="preserve">e the investigation continues.’ </w:t>
      </w:r>
      <w:r w:rsidRPr="006102C3">
        <w:rPr>
          <w:rFonts w:cs="Arial"/>
          <w:color w:val="auto"/>
        </w:rPr>
        <w:t>Like the FTPP, three individuals usually sit on an IOP, including the Chair, one medical and one non-medical panellist</w:t>
      </w:r>
      <w:r w:rsidR="00E357CA" w:rsidRPr="006102C3">
        <w:rPr>
          <w:rFonts w:cs="Arial"/>
          <w:color w:val="auto"/>
        </w:rPr>
        <w:t xml:space="preserve">. </w:t>
      </w:r>
      <w:r w:rsidRPr="006102C3">
        <w:rPr>
          <w:rFonts w:cs="Arial"/>
          <w:color w:val="auto"/>
        </w:rPr>
        <w:t>The Chair may be either medical or non-medical.</w:t>
      </w:r>
      <w:r w:rsidR="00E357CA" w:rsidRPr="006102C3">
        <w:rPr>
          <w:rStyle w:val="FootnoteReference"/>
          <w:rFonts w:cs="Arial"/>
          <w:color w:val="auto"/>
        </w:rPr>
        <w:footnoteReference w:id="27"/>
      </w:r>
      <w:r w:rsidRPr="006102C3">
        <w:rPr>
          <w:rFonts w:cs="Arial"/>
          <w:color w:val="auto"/>
        </w:rPr>
        <w:t xml:space="preserve"> </w:t>
      </w:r>
    </w:p>
    <w:p w:rsidR="00F13B1D" w:rsidRPr="006102C3" w:rsidRDefault="00F13B1D" w:rsidP="006102C3">
      <w:pPr>
        <w:pStyle w:val="B1BodyText"/>
        <w:spacing w:line="360" w:lineRule="auto"/>
        <w:rPr>
          <w:rFonts w:cs="Arial"/>
          <w:b/>
          <w:color w:val="auto"/>
        </w:rPr>
      </w:pPr>
      <w:r w:rsidRPr="006102C3">
        <w:rPr>
          <w:rFonts w:cs="Arial"/>
          <w:b/>
          <w:color w:val="auto"/>
        </w:rPr>
        <w:t>Medical Council</w:t>
      </w:r>
      <w:r w:rsidR="004A3606">
        <w:rPr>
          <w:rFonts w:cs="Arial"/>
          <w:b/>
          <w:color w:val="auto"/>
        </w:rPr>
        <w:t xml:space="preserve"> (Republic of Ireland)</w:t>
      </w:r>
    </w:p>
    <w:p w:rsidR="007559B2" w:rsidRPr="006102C3" w:rsidRDefault="007559B2" w:rsidP="006102C3">
      <w:pPr>
        <w:pStyle w:val="B1BodyText"/>
        <w:spacing w:line="360" w:lineRule="auto"/>
        <w:rPr>
          <w:rFonts w:cs="Arial"/>
          <w:color w:val="auto"/>
        </w:rPr>
      </w:pPr>
      <w:r w:rsidRPr="006102C3">
        <w:rPr>
          <w:rFonts w:cs="Arial"/>
          <w:color w:val="auto"/>
        </w:rPr>
        <w:t>Like its UK counterpart, the Medical Council</w:t>
      </w:r>
      <w:r w:rsidR="009D5240" w:rsidRPr="006102C3">
        <w:rPr>
          <w:rFonts w:cs="Arial"/>
          <w:color w:val="auto"/>
        </w:rPr>
        <w:t xml:space="preserve"> in the Republic of Ireland</w:t>
      </w:r>
      <w:r w:rsidRPr="006102C3">
        <w:rPr>
          <w:rFonts w:cs="Arial"/>
          <w:color w:val="auto"/>
        </w:rPr>
        <w:t xml:space="preserve"> makes provision for case examination, a Preliminary Proceedings Committee (PPC) and </w:t>
      </w:r>
      <w:proofErr w:type="gramStart"/>
      <w:r w:rsidRPr="006102C3">
        <w:rPr>
          <w:rFonts w:cs="Arial"/>
          <w:color w:val="auto"/>
        </w:rPr>
        <w:t xml:space="preserve">a </w:t>
      </w:r>
      <w:r w:rsidR="005272A3" w:rsidRPr="006102C3">
        <w:rPr>
          <w:rFonts w:cs="Arial"/>
          <w:color w:val="auto"/>
        </w:rPr>
        <w:t>Fitness</w:t>
      </w:r>
      <w:proofErr w:type="gramEnd"/>
      <w:r w:rsidR="005272A3" w:rsidRPr="006102C3">
        <w:rPr>
          <w:rFonts w:cs="Arial"/>
          <w:color w:val="auto"/>
        </w:rPr>
        <w:t xml:space="preserve"> to Practice Committee. The Council has 24 members- twelve are Medical including the president and vice-president and twelve are non-medical.</w:t>
      </w:r>
      <w:r w:rsidR="002260BE" w:rsidRPr="006102C3">
        <w:rPr>
          <w:rFonts w:cs="Arial"/>
          <w:color w:val="auto"/>
        </w:rPr>
        <w:t xml:space="preserve"> The Medical Council also has a Nominations &amp; Development Committee ‘which advises Council on the nomination process for appointments to committees and also advises on the provision of induction, training and development for members.’ </w:t>
      </w:r>
    </w:p>
    <w:p w:rsidR="00E205CA" w:rsidRPr="006102C3" w:rsidRDefault="00E205CA" w:rsidP="006102C3">
      <w:pPr>
        <w:pStyle w:val="B1BodyText"/>
        <w:spacing w:line="360" w:lineRule="auto"/>
        <w:rPr>
          <w:rFonts w:cs="Arial"/>
          <w:i/>
          <w:color w:val="auto"/>
        </w:rPr>
      </w:pPr>
      <w:r w:rsidRPr="006102C3">
        <w:rPr>
          <w:rFonts w:cs="Arial"/>
          <w:i/>
          <w:color w:val="auto"/>
        </w:rPr>
        <w:t>Case Examiner</w:t>
      </w:r>
    </w:p>
    <w:p w:rsidR="007559B2" w:rsidRPr="006102C3" w:rsidRDefault="00E205CA" w:rsidP="006102C3">
      <w:pPr>
        <w:pStyle w:val="B1BodyText"/>
        <w:spacing w:line="360" w:lineRule="auto"/>
        <w:rPr>
          <w:rFonts w:cs="Arial"/>
          <w:color w:val="auto"/>
        </w:rPr>
      </w:pPr>
      <w:r w:rsidRPr="006102C3">
        <w:rPr>
          <w:rFonts w:cs="Arial"/>
          <w:color w:val="auto"/>
        </w:rPr>
        <w:t>A case examiner</w:t>
      </w:r>
      <w:r w:rsidR="002260BE" w:rsidRPr="006102C3">
        <w:rPr>
          <w:rFonts w:cs="Arial"/>
          <w:color w:val="auto"/>
        </w:rPr>
        <w:t>, a non-medical individual,</w:t>
      </w:r>
      <w:r w:rsidRPr="006102C3">
        <w:rPr>
          <w:rFonts w:cs="Arial"/>
          <w:color w:val="auto"/>
        </w:rPr>
        <w:t xml:space="preserve"> is assigned by the Medical Council to assist the PPC in its investigation of a</w:t>
      </w:r>
      <w:r w:rsidR="00D9771E" w:rsidRPr="006102C3">
        <w:rPr>
          <w:rFonts w:cs="Arial"/>
          <w:color w:val="auto"/>
        </w:rPr>
        <w:t xml:space="preserve"> complaint.</w:t>
      </w:r>
      <w:r w:rsidRPr="006102C3">
        <w:rPr>
          <w:rFonts w:cs="Arial"/>
          <w:color w:val="auto"/>
        </w:rPr>
        <w:t xml:space="preserve"> This is pursuant to section 58(1) (a) of the Medical Practitioners Act 2007 as amended (“the Act”).</w:t>
      </w:r>
      <w:r w:rsidR="00D9771E" w:rsidRPr="006102C3">
        <w:rPr>
          <w:rFonts w:cs="Arial"/>
          <w:color w:val="auto"/>
        </w:rPr>
        <w:t xml:space="preserve"> Section 58 (1) (a) states that the Council is empowered to ‘appoint persons (including any members of the staff of the Council other than the chief executive officer) to assist the Preliminary Proceedings Committee.</w:t>
      </w:r>
      <w:r w:rsidR="00A8689B" w:rsidRPr="006102C3">
        <w:rPr>
          <w:rFonts w:cs="Arial"/>
          <w:color w:val="auto"/>
        </w:rPr>
        <w:t>’</w:t>
      </w:r>
      <w:r w:rsidR="00E357CA" w:rsidRPr="006102C3">
        <w:rPr>
          <w:rStyle w:val="FootnoteReference"/>
          <w:rFonts w:cs="Arial"/>
          <w:color w:val="auto"/>
        </w:rPr>
        <w:footnoteReference w:id="28"/>
      </w:r>
      <w:r w:rsidR="00D9771E" w:rsidRPr="006102C3">
        <w:rPr>
          <w:rFonts w:cs="Arial"/>
          <w:color w:val="auto"/>
        </w:rPr>
        <w:t xml:space="preserve"> </w:t>
      </w:r>
    </w:p>
    <w:p w:rsidR="00F13B1D" w:rsidRPr="006102C3" w:rsidRDefault="00D9771E" w:rsidP="006102C3">
      <w:pPr>
        <w:pStyle w:val="B1BodyText"/>
        <w:spacing w:line="360" w:lineRule="auto"/>
        <w:rPr>
          <w:rFonts w:cs="Arial"/>
          <w:i/>
          <w:color w:val="auto"/>
        </w:rPr>
      </w:pPr>
      <w:r w:rsidRPr="006102C3">
        <w:rPr>
          <w:rFonts w:cs="Arial"/>
          <w:i/>
          <w:color w:val="auto"/>
        </w:rPr>
        <w:t>PPC</w:t>
      </w:r>
    </w:p>
    <w:p w:rsidR="00E357CA" w:rsidRPr="006102C3" w:rsidRDefault="00A8689B" w:rsidP="006102C3">
      <w:pPr>
        <w:pStyle w:val="B1BodyText"/>
        <w:spacing w:line="360" w:lineRule="auto"/>
        <w:rPr>
          <w:rFonts w:cs="Arial"/>
          <w:color w:val="auto"/>
        </w:rPr>
      </w:pPr>
      <w:r w:rsidRPr="006102C3">
        <w:rPr>
          <w:rFonts w:cs="Arial"/>
          <w:color w:val="auto"/>
        </w:rPr>
        <w:t xml:space="preserve">The PPC investigates the compliant fully and </w:t>
      </w:r>
      <w:r w:rsidR="005272A3" w:rsidRPr="006102C3">
        <w:rPr>
          <w:rFonts w:cs="Arial"/>
          <w:color w:val="auto"/>
        </w:rPr>
        <w:t>provides an opinion to the Medical Council</w:t>
      </w:r>
      <w:r w:rsidRPr="006102C3">
        <w:rPr>
          <w:rFonts w:cs="Arial"/>
          <w:color w:val="auto"/>
        </w:rPr>
        <w:t>.</w:t>
      </w:r>
      <w:r w:rsidR="005272A3" w:rsidRPr="006102C3">
        <w:rPr>
          <w:rFonts w:cs="Arial"/>
          <w:color w:val="auto"/>
        </w:rPr>
        <w:t xml:space="preserve"> However, it is the Council’s responsibility to det</w:t>
      </w:r>
      <w:r w:rsidR="007C4D0C" w:rsidRPr="006102C3">
        <w:rPr>
          <w:rFonts w:cs="Arial"/>
          <w:color w:val="auto"/>
        </w:rPr>
        <w:t xml:space="preserve">ermine the appropriate action which is final. </w:t>
      </w:r>
      <w:r w:rsidRPr="006102C3">
        <w:rPr>
          <w:rFonts w:cs="Arial"/>
          <w:color w:val="auto"/>
        </w:rPr>
        <w:t xml:space="preserve">This may include referral to the Fitness to Practice Committee.  </w:t>
      </w:r>
      <w:r w:rsidR="005272A3" w:rsidRPr="006102C3">
        <w:rPr>
          <w:rFonts w:cs="Arial"/>
          <w:color w:val="auto"/>
        </w:rPr>
        <w:t xml:space="preserve">Currently, the PPC is comprised of a pool of 16 </w:t>
      </w:r>
      <w:r w:rsidR="002260BE" w:rsidRPr="006102C3">
        <w:rPr>
          <w:rFonts w:cs="Arial"/>
          <w:color w:val="auto"/>
        </w:rPr>
        <w:t xml:space="preserve">panellists, </w:t>
      </w:r>
      <w:r w:rsidR="00D37C69" w:rsidRPr="006102C3">
        <w:rPr>
          <w:rFonts w:cs="Arial"/>
          <w:color w:val="auto"/>
        </w:rPr>
        <w:t xml:space="preserve">six are council members including the Chair and </w:t>
      </w:r>
      <w:r w:rsidR="005272A3" w:rsidRPr="006102C3">
        <w:rPr>
          <w:rFonts w:cs="Arial"/>
          <w:color w:val="auto"/>
        </w:rPr>
        <w:t>ten</w:t>
      </w:r>
      <w:r w:rsidR="002260BE" w:rsidRPr="006102C3">
        <w:rPr>
          <w:rFonts w:cs="Arial"/>
          <w:color w:val="auto"/>
        </w:rPr>
        <w:t xml:space="preserve"> are external appointments</w:t>
      </w:r>
      <w:r w:rsidR="00D37C69" w:rsidRPr="006102C3">
        <w:rPr>
          <w:rFonts w:cs="Arial"/>
          <w:color w:val="auto"/>
        </w:rPr>
        <w:t>.</w:t>
      </w:r>
      <w:r w:rsidR="002260BE" w:rsidRPr="006102C3">
        <w:rPr>
          <w:rFonts w:cs="Arial"/>
          <w:color w:val="auto"/>
        </w:rPr>
        <w:t xml:space="preserve"> </w:t>
      </w:r>
      <w:r w:rsidR="00AF1CE0" w:rsidRPr="006102C3">
        <w:rPr>
          <w:rFonts w:cs="Arial"/>
          <w:color w:val="auto"/>
        </w:rPr>
        <w:t xml:space="preserve">Of the </w:t>
      </w:r>
      <w:r w:rsidR="002260BE" w:rsidRPr="006102C3">
        <w:rPr>
          <w:rFonts w:cs="Arial"/>
          <w:color w:val="auto"/>
        </w:rPr>
        <w:t xml:space="preserve">six council members, three are lay persons and </w:t>
      </w:r>
      <w:r w:rsidR="00AF1CE0" w:rsidRPr="006102C3">
        <w:rPr>
          <w:rFonts w:cs="Arial"/>
          <w:color w:val="auto"/>
        </w:rPr>
        <w:t>three are medical professionals and regarding the ten external appointments, only one is a lay person and nine are medical professionals. Therefore, on the PPC there are 12 medical professionals and four lay persons.</w:t>
      </w:r>
      <w:r w:rsidR="00951DEB" w:rsidRPr="006102C3">
        <w:rPr>
          <w:rStyle w:val="FootnoteReference"/>
          <w:rFonts w:cs="Arial"/>
          <w:color w:val="auto"/>
        </w:rPr>
        <w:footnoteReference w:id="29"/>
      </w:r>
      <w:r w:rsidR="00AF1CE0" w:rsidRPr="006102C3">
        <w:rPr>
          <w:rFonts w:cs="Arial"/>
          <w:color w:val="auto"/>
        </w:rPr>
        <w:t xml:space="preserve"> </w:t>
      </w:r>
      <w:r w:rsidR="002260BE" w:rsidRPr="006102C3">
        <w:rPr>
          <w:rFonts w:cs="Arial"/>
          <w:color w:val="auto"/>
        </w:rPr>
        <w:t xml:space="preserve"> </w:t>
      </w:r>
    </w:p>
    <w:p w:rsidR="005272A3" w:rsidRPr="006102C3" w:rsidRDefault="00D37C69" w:rsidP="006102C3">
      <w:pPr>
        <w:pStyle w:val="B1BodyText"/>
        <w:spacing w:line="360" w:lineRule="auto"/>
        <w:rPr>
          <w:rFonts w:cs="Arial"/>
          <w:i/>
          <w:color w:val="auto"/>
        </w:rPr>
      </w:pPr>
      <w:r w:rsidRPr="006102C3">
        <w:rPr>
          <w:rFonts w:cs="Arial"/>
          <w:i/>
          <w:color w:val="auto"/>
        </w:rPr>
        <w:t>Fitness to Practice Committee</w:t>
      </w:r>
    </w:p>
    <w:p w:rsidR="00274026" w:rsidRPr="006102C3" w:rsidRDefault="001E6208" w:rsidP="006102C3">
      <w:pPr>
        <w:pStyle w:val="B1BodyText"/>
        <w:spacing w:line="360" w:lineRule="auto"/>
        <w:rPr>
          <w:rFonts w:cs="Arial"/>
          <w:color w:val="auto"/>
        </w:rPr>
      </w:pPr>
      <w:r w:rsidRPr="006102C3">
        <w:rPr>
          <w:rFonts w:cs="Arial"/>
          <w:color w:val="auto"/>
        </w:rPr>
        <w:t>The Fitness to Practice Committee</w:t>
      </w:r>
      <w:r w:rsidR="007C4D0C" w:rsidRPr="006102C3">
        <w:rPr>
          <w:rFonts w:cs="Arial"/>
          <w:color w:val="auto"/>
        </w:rPr>
        <w:t xml:space="preserve"> is normally comprised of three people: two </w:t>
      </w:r>
      <w:proofErr w:type="gramStart"/>
      <w:r w:rsidR="007C4D0C" w:rsidRPr="006102C3">
        <w:rPr>
          <w:rFonts w:cs="Arial"/>
          <w:color w:val="auto"/>
        </w:rPr>
        <w:t>non-medical</w:t>
      </w:r>
      <w:proofErr w:type="gramEnd"/>
      <w:r w:rsidR="007C4D0C" w:rsidRPr="006102C3">
        <w:rPr>
          <w:rFonts w:cs="Arial"/>
          <w:color w:val="auto"/>
        </w:rPr>
        <w:t xml:space="preserve"> and one medical.</w:t>
      </w:r>
      <w:r w:rsidR="00917388" w:rsidRPr="006102C3">
        <w:rPr>
          <w:rFonts w:cs="Arial"/>
          <w:color w:val="auto"/>
        </w:rPr>
        <w:t xml:space="preserve">’ </w:t>
      </w:r>
      <w:r w:rsidR="005A3A99" w:rsidRPr="006102C3">
        <w:rPr>
          <w:rFonts w:cs="Arial"/>
          <w:color w:val="auto"/>
        </w:rPr>
        <w:t xml:space="preserve">There is no requirement for the chairperson to be either a </w:t>
      </w:r>
      <w:r w:rsidR="005A3A99" w:rsidRPr="006102C3">
        <w:rPr>
          <w:rFonts w:cs="Arial"/>
          <w:color w:val="auto"/>
        </w:rPr>
        <w:lastRenderedPageBreak/>
        <w:t>medical professional or a layperson</w:t>
      </w:r>
      <w:r w:rsidR="002260BE" w:rsidRPr="006102C3">
        <w:rPr>
          <w:rFonts w:cs="Arial"/>
          <w:color w:val="auto"/>
        </w:rPr>
        <w:t xml:space="preserve"> but he/she must be a council member</w:t>
      </w:r>
      <w:r w:rsidR="005A3A99" w:rsidRPr="006102C3">
        <w:rPr>
          <w:rFonts w:cs="Arial"/>
          <w:color w:val="auto"/>
        </w:rPr>
        <w:t>.</w:t>
      </w:r>
      <w:r w:rsidRPr="006102C3">
        <w:rPr>
          <w:rFonts w:cs="Arial"/>
          <w:color w:val="auto"/>
        </w:rPr>
        <w:t xml:space="preserve"> </w:t>
      </w:r>
      <w:r w:rsidR="007C4D0C" w:rsidRPr="006102C3">
        <w:rPr>
          <w:rFonts w:cs="Arial"/>
          <w:color w:val="auto"/>
        </w:rPr>
        <w:t>A Legal Assessor also sits with the Committee and ‘advises and informs the Committee and the other people involved about the law and procedure.’</w:t>
      </w:r>
      <w:r w:rsidR="002F257D" w:rsidRPr="006102C3">
        <w:rPr>
          <w:rStyle w:val="FootnoteReference"/>
          <w:rFonts w:cs="Arial"/>
          <w:color w:val="auto"/>
        </w:rPr>
        <w:footnoteReference w:id="30"/>
      </w:r>
      <w:r w:rsidR="007C4D0C" w:rsidRPr="006102C3">
        <w:rPr>
          <w:rFonts w:cs="Arial"/>
          <w:color w:val="auto"/>
        </w:rPr>
        <w:t xml:space="preserve"> He/she does not make decisions. Upon completion of the hearing,</w:t>
      </w:r>
      <w:r w:rsidR="007A0656" w:rsidRPr="006102C3">
        <w:rPr>
          <w:rFonts w:cs="Arial"/>
          <w:color w:val="auto"/>
        </w:rPr>
        <w:t xml:space="preserve"> the Committee will give its findings and compile</w:t>
      </w:r>
      <w:r w:rsidR="007C4D0C" w:rsidRPr="006102C3">
        <w:rPr>
          <w:rFonts w:cs="Arial"/>
          <w:color w:val="auto"/>
        </w:rPr>
        <w:t xml:space="preserve"> a report</w:t>
      </w:r>
      <w:r w:rsidR="007A0656" w:rsidRPr="006102C3">
        <w:rPr>
          <w:rFonts w:cs="Arial"/>
          <w:color w:val="auto"/>
        </w:rPr>
        <w:t xml:space="preserve"> citing its conclusions and reasons for them. This report</w:t>
      </w:r>
      <w:r w:rsidR="007C4D0C" w:rsidRPr="006102C3">
        <w:rPr>
          <w:rFonts w:cs="Arial"/>
          <w:color w:val="auto"/>
        </w:rPr>
        <w:t xml:space="preserve"> </w:t>
      </w:r>
      <w:r w:rsidR="007A0656" w:rsidRPr="006102C3">
        <w:rPr>
          <w:rFonts w:cs="Arial"/>
          <w:color w:val="auto"/>
        </w:rPr>
        <w:t>is then</w:t>
      </w:r>
      <w:r w:rsidR="007C4D0C" w:rsidRPr="006102C3">
        <w:rPr>
          <w:rFonts w:cs="Arial"/>
          <w:color w:val="auto"/>
        </w:rPr>
        <w:t xml:space="preserve"> sent to the Council.</w:t>
      </w:r>
      <w:r w:rsidR="007A0656" w:rsidRPr="006102C3">
        <w:rPr>
          <w:rFonts w:cs="Arial"/>
          <w:color w:val="auto"/>
        </w:rPr>
        <w:t xml:space="preserve"> Where the Committee reports that the allegations have been proved against the doctor the Council will impose sanctions</w:t>
      </w:r>
      <w:r w:rsidR="005A3A99" w:rsidRPr="006102C3">
        <w:rPr>
          <w:rFonts w:cs="Arial"/>
          <w:color w:val="auto"/>
        </w:rPr>
        <w:t>.</w:t>
      </w:r>
      <w:r w:rsidR="002F257D" w:rsidRPr="006102C3">
        <w:rPr>
          <w:rFonts w:cs="Arial"/>
          <w:color w:val="auto"/>
        </w:rPr>
        <w:t xml:space="preserve"> </w:t>
      </w:r>
    </w:p>
    <w:p w:rsidR="00274026" w:rsidRPr="006102C3" w:rsidRDefault="00274026" w:rsidP="006102C3">
      <w:pPr>
        <w:pStyle w:val="B1BodyText"/>
        <w:spacing w:line="360" w:lineRule="auto"/>
        <w:rPr>
          <w:rFonts w:cs="Arial"/>
          <w:i/>
          <w:color w:val="auto"/>
        </w:rPr>
      </w:pPr>
      <w:r w:rsidRPr="006102C3">
        <w:rPr>
          <w:rFonts w:cs="Arial"/>
          <w:i/>
          <w:color w:val="auto"/>
        </w:rPr>
        <w:t>Appeals Process</w:t>
      </w:r>
    </w:p>
    <w:p w:rsidR="00274026" w:rsidRPr="006102C3" w:rsidRDefault="00A45EEB" w:rsidP="006102C3">
      <w:pPr>
        <w:pStyle w:val="B1BodyText"/>
        <w:spacing w:line="360" w:lineRule="auto"/>
        <w:rPr>
          <w:rFonts w:cs="Arial"/>
          <w:color w:val="auto"/>
        </w:rPr>
      </w:pPr>
      <w:r w:rsidRPr="006102C3">
        <w:rPr>
          <w:rFonts w:cs="Arial"/>
          <w:color w:val="auto"/>
        </w:rPr>
        <w:t>If sanctions from the Medical Council include imposition of a fine, suspension, expulsion or changes to a doctor’s registration, he/she has a right of appeal to the High Court. The Medical Council notes that ‘if no appeal is made against the Medical Council's decision, the Medical Council will apply to the High Court to confirm its decision.’</w:t>
      </w:r>
      <w:r w:rsidR="00BC6775" w:rsidRPr="006102C3">
        <w:rPr>
          <w:rStyle w:val="FootnoteReference"/>
          <w:rFonts w:cs="Arial"/>
          <w:color w:val="auto"/>
        </w:rPr>
        <w:footnoteReference w:id="31"/>
      </w:r>
    </w:p>
    <w:p w:rsidR="007C53B4" w:rsidRPr="006102C3" w:rsidRDefault="00E76A1F" w:rsidP="006102C3">
      <w:pPr>
        <w:pStyle w:val="H1SectionHead"/>
        <w:spacing w:line="360" w:lineRule="auto"/>
        <w:rPr>
          <w:rFonts w:cs="Arial"/>
          <w:color w:val="auto"/>
        </w:rPr>
      </w:pPr>
      <w:r w:rsidRPr="006102C3">
        <w:rPr>
          <w:rFonts w:cs="Arial"/>
          <w:color w:val="auto"/>
        </w:rPr>
        <w:t>4    Social Work</w:t>
      </w:r>
    </w:p>
    <w:p w:rsidR="009D5240" w:rsidRPr="006102C3" w:rsidRDefault="0099281C" w:rsidP="006102C3">
      <w:pPr>
        <w:pStyle w:val="B1BodyText"/>
        <w:spacing w:line="360" w:lineRule="auto"/>
        <w:rPr>
          <w:rFonts w:cs="Arial"/>
          <w:b/>
          <w:color w:val="auto"/>
          <w:sz w:val="24"/>
        </w:rPr>
      </w:pPr>
      <w:r w:rsidRPr="006102C3">
        <w:rPr>
          <w:rFonts w:cs="Arial"/>
          <w:b/>
          <w:color w:val="auto"/>
          <w:sz w:val="24"/>
        </w:rPr>
        <w:t>Northern Ireland Social Care Council</w:t>
      </w:r>
      <w:r w:rsidR="003A6196" w:rsidRPr="006102C3">
        <w:rPr>
          <w:rFonts w:cs="Arial"/>
          <w:b/>
          <w:color w:val="auto"/>
          <w:sz w:val="24"/>
        </w:rPr>
        <w:t xml:space="preserve"> (NISCC) </w:t>
      </w:r>
    </w:p>
    <w:p w:rsidR="00AF355E" w:rsidRPr="006102C3" w:rsidRDefault="00AF1351" w:rsidP="006102C3">
      <w:pPr>
        <w:pStyle w:val="B1BodyText"/>
        <w:spacing w:line="360" w:lineRule="auto"/>
        <w:rPr>
          <w:rFonts w:cs="Arial"/>
          <w:color w:val="auto"/>
          <w:szCs w:val="22"/>
        </w:rPr>
      </w:pPr>
      <w:r w:rsidRPr="006102C3">
        <w:rPr>
          <w:rFonts w:cs="Arial"/>
          <w:color w:val="auto"/>
          <w:szCs w:val="22"/>
        </w:rPr>
        <w:t xml:space="preserve">The NISSC regulates the social care profession in Northern Ireland. The NISCC makes </w:t>
      </w:r>
      <w:r w:rsidR="003A6196" w:rsidRPr="006102C3">
        <w:rPr>
          <w:rFonts w:cs="Arial"/>
          <w:color w:val="auto"/>
          <w:szCs w:val="22"/>
        </w:rPr>
        <w:t xml:space="preserve">provision for a </w:t>
      </w:r>
      <w:r w:rsidR="00407956" w:rsidRPr="006102C3">
        <w:rPr>
          <w:rFonts w:cs="Arial"/>
          <w:color w:val="auto"/>
          <w:szCs w:val="22"/>
        </w:rPr>
        <w:t>Conduct Team a</w:t>
      </w:r>
      <w:r w:rsidR="003A6196" w:rsidRPr="006102C3">
        <w:rPr>
          <w:rFonts w:cs="Arial"/>
          <w:color w:val="auto"/>
          <w:szCs w:val="22"/>
        </w:rPr>
        <w:t xml:space="preserve"> Preliminary Proceedings Committee (PPC), a Conduct Committee and an Appeal Tribunal </w:t>
      </w:r>
      <w:r w:rsidR="00407956" w:rsidRPr="006102C3">
        <w:rPr>
          <w:rFonts w:cs="Arial"/>
          <w:color w:val="auto"/>
          <w:szCs w:val="22"/>
        </w:rPr>
        <w:t>in its conduct rules. Members of the PPC and the Conduct Committee are drawn from a pool of 42 individuals</w:t>
      </w:r>
      <w:r w:rsidR="00676100" w:rsidRPr="006102C3">
        <w:rPr>
          <w:rFonts w:cs="Arial"/>
          <w:color w:val="auto"/>
          <w:szCs w:val="22"/>
        </w:rPr>
        <w:t xml:space="preserve"> having previously been recruited</w:t>
      </w:r>
      <w:r w:rsidR="00F02053" w:rsidRPr="006102C3">
        <w:rPr>
          <w:rFonts w:cs="Arial"/>
          <w:color w:val="auto"/>
          <w:szCs w:val="22"/>
        </w:rPr>
        <w:t>.</w:t>
      </w:r>
      <w:r w:rsidR="008377F0" w:rsidRPr="006102C3">
        <w:rPr>
          <w:rFonts w:cs="Arial"/>
          <w:color w:val="auto"/>
          <w:szCs w:val="22"/>
        </w:rPr>
        <w:t xml:space="preserve"> They serve for at least one four year term. </w:t>
      </w:r>
      <w:r w:rsidR="00F02053" w:rsidRPr="006102C3">
        <w:rPr>
          <w:rFonts w:cs="Arial"/>
          <w:color w:val="auto"/>
          <w:szCs w:val="22"/>
        </w:rPr>
        <w:t>This group is split equally between social care professionals and lay</w:t>
      </w:r>
      <w:r w:rsidR="001B4F55" w:rsidRPr="006102C3">
        <w:rPr>
          <w:rFonts w:cs="Arial"/>
          <w:color w:val="auto"/>
          <w:szCs w:val="22"/>
        </w:rPr>
        <w:t xml:space="preserve"> persons</w:t>
      </w:r>
      <w:r w:rsidR="00F02053" w:rsidRPr="006102C3">
        <w:rPr>
          <w:rFonts w:cs="Arial"/>
          <w:color w:val="auto"/>
          <w:szCs w:val="22"/>
        </w:rPr>
        <w:t>.</w:t>
      </w:r>
      <w:r w:rsidR="002F257D" w:rsidRPr="006102C3">
        <w:rPr>
          <w:rStyle w:val="FootnoteReference"/>
          <w:rFonts w:cs="Arial"/>
          <w:color w:val="auto"/>
          <w:szCs w:val="22"/>
        </w:rPr>
        <w:footnoteReference w:id="32"/>
      </w:r>
      <w:r w:rsidR="00F02053" w:rsidRPr="006102C3">
        <w:rPr>
          <w:rFonts w:cs="Arial"/>
          <w:color w:val="auto"/>
          <w:szCs w:val="22"/>
        </w:rPr>
        <w:t xml:space="preserve">  </w:t>
      </w:r>
      <w:r w:rsidR="00676100" w:rsidRPr="006102C3">
        <w:rPr>
          <w:rFonts w:cs="Arial"/>
          <w:color w:val="auto"/>
          <w:szCs w:val="22"/>
        </w:rPr>
        <w:t xml:space="preserve"> </w:t>
      </w:r>
      <w:r w:rsidR="00407956" w:rsidRPr="006102C3">
        <w:rPr>
          <w:rFonts w:cs="Arial"/>
          <w:color w:val="auto"/>
          <w:szCs w:val="22"/>
        </w:rPr>
        <w:t xml:space="preserve"> </w:t>
      </w:r>
    </w:p>
    <w:p w:rsidR="00AF355E" w:rsidRPr="006102C3" w:rsidRDefault="00AF355E" w:rsidP="006102C3">
      <w:pPr>
        <w:pStyle w:val="B1BodyText"/>
        <w:spacing w:line="360" w:lineRule="auto"/>
        <w:rPr>
          <w:rFonts w:cs="Arial"/>
          <w:i/>
          <w:color w:val="auto"/>
          <w:szCs w:val="22"/>
        </w:rPr>
      </w:pPr>
      <w:r w:rsidRPr="006102C3">
        <w:rPr>
          <w:rFonts w:cs="Arial"/>
          <w:i/>
          <w:color w:val="auto"/>
          <w:szCs w:val="22"/>
        </w:rPr>
        <w:t>Conduct officer</w:t>
      </w:r>
    </w:p>
    <w:p w:rsidR="008703FA" w:rsidRPr="006102C3" w:rsidRDefault="00AF355E" w:rsidP="006102C3">
      <w:pPr>
        <w:pStyle w:val="B1BodyText"/>
        <w:spacing w:line="360" w:lineRule="auto"/>
        <w:rPr>
          <w:rFonts w:cs="Arial"/>
          <w:color w:val="auto"/>
          <w:szCs w:val="22"/>
        </w:rPr>
      </w:pPr>
      <w:r w:rsidRPr="006102C3">
        <w:rPr>
          <w:rFonts w:cs="Arial"/>
          <w:color w:val="auto"/>
          <w:szCs w:val="22"/>
        </w:rPr>
        <w:t>Once the NISCC receive</w:t>
      </w:r>
      <w:r w:rsidR="00220CCD" w:rsidRPr="006102C3">
        <w:rPr>
          <w:rFonts w:cs="Arial"/>
          <w:color w:val="auto"/>
          <w:szCs w:val="22"/>
        </w:rPr>
        <w:t>s a complaint it is passed to a case owner (also one of the five conduct officers</w:t>
      </w:r>
      <w:r w:rsidRPr="006102C3">
        <w:rPr>
          <w:rFonts w:cs="Arial"/>
          <w:color w:val="auto"/>
          <w:szCs w:val="22"/>
        </w:rPr>
        <w:t xml:space="preserve"> within the Conduct Team</w:t>
      </w:r>
      <w:r w:rsidR="00220CCD" w:rsidRPr="006102C3">
        <w:rPr>
          <w:rFonts w:cs="Arial"/>
          <w:color w:val="auto"/>
          <w:szCs w:val="22"/>
        </w:rPr>
        <w:t>)</w:t>
      </w:r>
      <w:r w:rsidRPr="006102C3">
        <w:rPr>
          <w:rFonts w:cs="Arial"/>
          <w:color w:val="auto"/>
          <w:szCs w:val="22"/>
        </w:rPr>
        <w:t xml:space="preserve"> who </w:t>
      </w:r>
      <w:r w:rsidR="00220CCD" w:rsidRPr="006102C3">
        <w:rPr>
          <w:rFonts w:cs="Arial"/>
          <w:color w:val="auto"/>
          <w:szCs w:val="22"/>
        </w:rPr>
        <w:t>is assigned to it until the case has been disposed</w:t>
      </w:r>
      <w:r w:rsidR="00A60DD7" w:rsidRPr="006102C3">
        <w:rPr>
          <w:rFonts w:cs="Arial"/>
          <w:color w:val="auto"/>
          <w:szCs w:val="22"/>
        </w:rPr>
        <w:t>.</w:t>
      </w:r>
      <w:r w:rsidR="00220CCD" w:rsidRPr="006102C3">
        <w:rPr>
          <w:rFonts w:cs="Arial"/>
          <w:color w:val="auto"/>
          <w:szCs w:val="22"/>
        </w:rPr>
        <w:t xml:space="preserve"> There is no requirement for a conduct team post holder to be either a social care professional or a layperson but he/she must ‘have a third level qualification (or five </w:t>
      </w:r>
      <w:r w:rsidR="00220CCD" w:rsidRPr="006102C3">
        <w:rPr>
          <w:rFonts w:cs="Arial"/>
          <w:color w:val="auto"/>
          <w:szCs w:val="22"/>
        </w:rPr>
        <w:lastRenderedPageBreak/>
        <w:t>years’ relevant experience) in social work, human resources or law, with formal investigative experience.’</w:t>
      </w:r>
      <w:r w:rsidR="002F257D" w:rsidRPr="006102C3">
        <w:rPr>
          <w:rStyle w:val="FootnoteReference"/>
          <w:rFonts w:cs="Arial"/>
          <w:color w:val="auto"/>
          <w:szCs w:val="22"/>
        </w:rPr>
        <w:footnoteReference w:id="33"/>
      </w:r>
      <w:r w:rsidR="00220CCD" w:rsidRPr="006102C3">
        <w:rPr>
          <w:rFonts w:cs="Arial"/>
          <w:color w:val="auto"/>
          <w:szCs w:val="22"/>
        </w:rPr>
        <w:t xml:space="preserve"> </w:t>
      </w:r>
    </w:p>
    <w:p w:rsidR="00A60DD7" w:rsidRPr="006102C3" w:rsidRDefault="00A60DD7" w:rsidP="006102C3">
      <w:pPr>
        <w:pStyle w:val="B1BodyText"/>
        <w:spacing w:line="360" w:lineRule="auto"/>
        <w:rPr>
          <w:rFonts w:cs="Arial"/>
          <w:i/>
          <w:color w:val="auto"/>
          <w:szCs w:val="22"/>
        </w:rPr>
      </w:pPr>
      <w:r w:rsidRPr="006102C3">
        <w:rPr>
          <w:rFonts w:cs="Arial"/>
          <w:i/>
          <w:color w:val="auto"/>
          <w:szCs w:val="22"/>
        </w:rPr>
        <w:t>PPC</w:t>
      </w:r>
      <w:r w:rsidR="008377F0" w:rsidRPr="006102C3">
        <w:rPr>
          <w:rFonts w:cs="Arial"/>
          <w:i/>
          <w:color w:val="auto"/>
          <w:szCs w:val="22"/>
        </w:rPr>
        <w:t xml:space="preserve"> and the Conduct Committee</w:t>
      </w:r>
    </w:p>
    <w:p w:rsidR="008377F0" w:rsidRPr="006102C3" w:rsidRDefault="00F02053" w:rsidP="006102C3">
      <w:pPr>
        <w:pStyle w:val="B1BodyText"/>
        <w:spacing w:line="360" w:lineRule="auto"/>
        <w:rPr>
          <w:rFonts w:cs="Arial"/>
          <w:color w:val="auto"/>
          <w:szCs w:val="22"/>
        </w:rPr>
      </w:pPr>
      <w:r w:rsidRPr="006102C3">
        <w:rPr>
          <w:rFonts w:cs="Arial"/>
          <w:color w:val="auto"/>
          <w:szCs w:val="22"/>
        </w:rPr>
        <w:t>The PPC</w:t>
      </w:r>
      <w:r w:rsidR="008377F0" w:rsidRPr="006102C3">
        <w:rPr>
          <w:rFonts w:cs="Arial"/>
          <w:color w:val="auto"/>
          <w:szCs w:val="22"/>
        </w:rPr>
        <w:t xml:space="preserve"> and the Conduct Committee are both </w:t>
      </w:r>
      <w:r w:rsidRPr="006102C3">
        <w:rPr>
          <w:rFonts w:cs="Arial"/>
          <w:color w:val="auto"/>
          <w:szCs w:val="22"/>
        </w:rPr>
        <w:t>comprised of</w:t>
      </w:r>
      <w:r w:rsidR="008703FA" w:rsidRPr="006102C3">
        <w:rPr>
          <w:rFonts w:cs="Arial"/>
          <w:color w:val="auto"/>
          <w:szCs w:val="22"/>
        </w:rPr>
        <w:t xml:space="preserve"> at least three members, including one layperson, one social care professional and one lay chairperson. Depending on the seriousness of the case, the membership</w:t>
      </w:r>
      <w:r w:rsidR="008377F0" w:rsidRPr="006102C3">
        <w:rPr>
          <w:rFonts w:cs="Arial"/>
          <w:color w:val="auto"/>
          <w:szCs w:val="22"/>
        </w:rPr>
        <w:t>s</w:t>
      </w:r>
      <w:r w:rsidR="008703FA" w:rsidRPr="006102C3">
        <w:rPr>
          <w:rFonts w:cs="Arial"/>
          <w:color w:val="auto"/>
          <w:szCs w:val="22"/>
        </w:rPr>
        <w:t xml:space="preserve"> of the PPC</w:t>
      </w:r>
      <w:r w:rsidR="008377F0" w:rsidRPr="006102C3">
        <w:rPr>
          <w:rFonts w:cs="Arial"/>
          <w:color w:val="auto"/>
          <w:szCs w:val="22"/>
        </w:rPr>
        <w:t xml:space="preserve"> and the Conduct Committee</w:t>
      </w:r>
      <w:r w:rsidR="008703FA" w:rsidRPr="006102C3">
        <w:rPr>
          <w:rFonts w:cs="Arial"/>
          <w:color w:val="auto"/>
          <w:szCs w:val="22"/>
        </w:rPr>
        <w:t xml:space="preserve"> may increase to five.</w:t>
      </w:r>
      <w:r w:rsidR="002F257D" w:rsidRPr="006102C3">
        <w:rPr>
          <w:rStyle w:val="FootnoteReference"/>
          <w:rFonts w:cs="Arial"/>
          <w:color w:val="auto"/>
          <w:szCs w:val="22"/>
        </w:rPr>
        <w:footnoteReference w:id="34"/>
      </w:r>
      <w:r w:rsidR="008703FA" w:rsidRPr="006102C3">
        <w:rPr>
          <w:rFonts w:cs="Arial"/>
          <w:color w:val="auto"/>
          <w:szCs w:val="22"/>
        </w:rPr>
        <w:t xml:space="preserve">  </w:t>
      </w:r>
      <w:r w:rsidRPr="006102C3">
        <w:rPr>
          <w:rFonts w:cs="Arial"/>
          <w:color w:val="auto"/>
          <w:szCs w:val="22"/>
        </w:rPr>
        <w:t xml:space="preserve">  </w:t>
      </w:r>
    </w:p>
    <w:p w:rsidR="001E6208" w:rsidRPr="006102C3" w:rsidRDefault="008377F0" w:rsidP="006102C3">
      <w:pPr>
        <w:pStyle w:val="B1BodyText"/>
        <w:spacing w:line="360" w:lineRule="auto"/>
        <w:rPr>
          <w:rFonts w:cs="Arial"/>
          <w:i/>
          <w:color w:val="auto"/>
          <w:szCs w:val="22"/>
        </w:rPr>
      </w:pPr>
      <w:r w:rsidRPr="006102C3">
        <w:rPr>
          <w:rFonts w:cs="Arial"/>
          <w:i/>
          <w:color w:val="auto"/>
          <w:szCs w:val="22"/>
        </w:rPr>
        <w:t>Care Tribunal</w:t>
      </w:r>
    </w:p>
    <w:p w:rsidR="008377F0" w:rsidRPr="006102C3" w:rsidRDefault="00011622" w:rsidP="006102C3">
      <w:pPr>
        <w:pStyle w:val="B1BodyText"/>
        <w:spacing w:line="360" w:lineRule="auto"/>
        <w:rPr>
          <w:rFonts w:cs="Arial"/>
          <w:i/>
          <w:color w:val="auto"/>
          <w:szCs w:val="22"/>
        </w:rPr>
      </w:pPr>
      <w:r w:rsidRPr="006102C3">
        <w:rPr>
          <w:rFonts w:cs="Arial"/>
          <w:color w:val="auto"/>
          <w:szCs w:val="22"/>
        </w:rPr>
        <w:t>The NISSC’s disciplinary process also permits registrants to ‘appeal to the Care Tribunal against any decision made by a Committee.’</w:t>
      </w:r>
      <w:r w:rsidR="0022228C" w:rsidRPr="006102C3">
        <w:rPr>
          <w:rFonts w:cs="Arial"/>
          <w:color w:val="auto"/>
          <w:szCs w:val="22"/>
        </w:rPr>
        <w:t xml:space="preserve"> However, </w:t>
      </w:r>
      <w:r w:rsidR="009B13AC" w:rsidRPr="006102C3">
        <w:rPr>
          <w:rFonts w:cs="Arial"/>
          <w:color w:val="auto"/>
          <w:szCs w:val="22"/>
        </w:rPr>
        <w:t xml:space="preserve">the tribunal </w:t>
      </w:r>
      <w:r w:rsidR="0022228C" w:rsidRPr="006102C3">
        <w:rPr>
          <w:rFonts w:cs="Arial"/>
          <w:color w:val="auto"/>
          <w:szCs w:val="22"/>
        </w:rPr>
        <w:t>is not facilitated by the</w:t>
      </w:r>
      <w:r w:rsidRPr="006102C3">
        <w:rPr>
          <w:rFonts w:cs="Arial"/>
          <w:color w:val="auto"/>
          <w:szCs w:val="22"/>
        </w:rPr>
        <w:t xml:space="preserve"> </w:t>
      </w:r>
      <w:r w:rsidR="0022228C" w:rsidRPr="006102C3">
        <w:rPr>
          <w:rFonts w:cs="Arial"/>
          <w:color w:val="auto"/>
          <w:szCs w:val="22"/>
        </w:rPr>
        <w:t>NISSC as it comes under the remit of</w:t>
      </w:r>
      <w:r w:rsidR="00834724" w:rsidRPr="006102C3">
        <w:rPr>
          <w:rFonts w:cs="Arial"/>
          <w:color w:val="auto"/>
          <w:szCs w:val="22"/>
        </w:rPr>
        <w:t xml:space="preserve"> the</w:t>
      </w:r>
      <w:r w:rsidR="0022228C" w:rsidRPr="006102C3">
        <w:rPr>
          <w:rFonts w:cs="Arial"/>
          <w:color w:val="auto"/>
          <w:szCs w:val="22"/>
        </w:rPr>
        <w:t xml:space="preserve"> Northern Ireland</w:t>
      </w:r>
      <w:r w:rsidR="00834724" w:rsidRPr="006102C3">
        <w:rPr>
          <w:rFonts w:cs="Arial"/>
          <w:color w:val="auto"/>
          <w:szCs w:val="22"/>
        </w:rPr>
        <w:t xml:space="preserve"> Courts and Tribunals </w:t>
      </w:r>
      <w:r w:rsidR="0022228C" w:rsidRPr="006102C3">
        <w:rPr>
          <w:rFonts w:cs="Arial"/>
          <w:color w:val="auto"/>
          <w:szCs w:val="22"/>
        </w:rPr>
        <w:t>Service.</w:t>
      </w:r>
      <w:r w:rsidR="002F257D" w:rsidRPr="006102C3">
        <w:rPr>
          <w:rStyle w:val="FootnoteReference"/>
          <w:rFonts w:cs="Arial"/>
          <w:color w:val="auto"/>
          <w:szCs w:val="22"/>
        </w:rPr>
        <w:footnoteReference w:id="35"/>
      </w:r>
      <w:r w:rsidR="00834724" w:rsidRPr="006102C3">
        <w:rPr>
          <w:rFonts w:cs="Arial"/>
          <w:color w:val="auto"/>
          <w:szCs w:val="22"/>
        </w:rPr>
        <w:t xml:space="preserve">  </w:t>
      </w:r>
      <w:r w:rsidRPr="006102C3">
        <w:rPr>
          <w:rFonts w:cs="Arial"/>
          <w:color w:val="auto"/>
          <w:szCs w:val="22"/>
        </w:rPr>
        <w:t xml:space="preserve"> </w:t>
      </w:r>
    </w:p>
    <w:p w:rsidR="001E6208" w:rsidRPr="006102C3" w:rsidRDefault="001340EA" w:rsidP="006102C3">
      <w:pPr>
        <w:pStyle w:val="B1BodyText"/>
        <w:spacing w:line="360" w:lineRule="auto"/>
        <w:ind w:left="0"/>
        <w:rPr>
          <w:rFonts w:cs="Arial"/>
          <w:noProof/>
          <w:color w:val="auto"/>
        </w:rPr>
      </w:pPr>
      <w:r w:rsidRPr="006102C3">
        <w:rPr>
          <w:rFonts w:cs="Arial"/>
          <w:noProof/>
          <w:color w:val="auto"/>
        </w:rPr>
        <w:drawing>
          <wp:anchor distT="0" distB="0" distL="114300" distR="114300" simplePos="0" relativeHeight="251669504" behindDoc="0" locked="0" layoutInCell="1" allowOverlap="1" wp14:anchorId="362560AC" wp14:editId="52FA8857">
            <wp:simplePos x="0" y="0"/>
            <wp:positionH relativeFrom="column">
              <wp:posOffset>395605</wp:posOffset>
            </wp:positionH>
            <wp:positionV relativeFrom="paragraph">
              <wp:posOffset>358775</wp:posOffset>
            </wp:positionV>
            <wp:extent cx="5093970" cy="444436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093970" cy="4444365"/>
                    </a:xfrm>
                    <a:prstGeom prst="rect">
                      <a:avLst/>
                    </a:prstGeom>
                  </pic:spPr>
                </pic:pic>
              </a:graphicData>
            </a:graphic>
            <wp14:sizeRelH relativeFrom="page">
              <wp14:pctWidth>0</wp14:pctWidth>
            </wp14:sizeRelH>
            <wp14:sizeRelV relativeFrom="page">
              <wp14:pctHeight>0</wp14:pctHeight>
            </wp14:sizeRelV>
          </wp:anchor>
        </w:drawing>
      </w:r>
      <w:r w:rsidR="00AD5FE7" w:rsidRPr="006102C3">
        <w:rPr>
          <w:rFonts w:cs="Arial"/>
          <w:b/>
          <w:noProof/>
          <w:color w:val="auto"/>
        </w:rPr>
        <w:t>Figure 3:</w:t>
      </w:r>
      <w:r w:rsidR="00AD5FE7" w:rsidRPr="006102C3">
        <w:rPr>
          <w:rFonts w:cs="Arial"/>
          <w:noProof/>
          <w:color w:val="auto"/>
        </w:rPr>
        <w:t xml:space="preserve"> NISCC conduct process</w:t>
      </w:r>
      <w:r w:rsidR="006102C3">
        <w:rPr>
          <w:rFonts w:cs="Arial"/>
          <w:noProof/>
          <w:color w:val="auto"/>
        </w:rPr>
        <w:t xml:space="preserve"> </w:t>
      </w:r>
      <w:r w:rsidR="006102C3" w:rsidRPr="006102C3">
        <w:rPr>
          <w:rFonts w:cs="Arial"/>
          <w:noProof/>
          <w:color w:val="auto"/>
          <w:sz w:val="14"/>
          <w:szCs w:val="14"/>
        </w:rPr>
        <w:t>(source: http://www.niscc.info/files/Conduct/2014_Picture_Guide_Conduct.pdf)</w:t>
      </w:r>
    </w:p>
    <w:p w:rsidR="001E6208" w:rsidRPr="006102C3" w:rsidRDefault="001E6208" w:rsidP="006102C3">
      <w:pPr>
        <w:pStyle w:val="B1BodyText"/>
        <w:spacing w:line="360" w:lineRule="auto"/>
        <w:ind w:left="0"/>
        <w:rPr>
          <w:rFonts w:cs="Arial"/>
          <w:noProof/>
          <w:color w:val="auto"/>
        </w:rPr>
      </w:pPr>
    </w:p>
    <w:p w:rsidR="001E6208" w:rsidRPr="006102C3" w:rsidRDefault="001E6208" w:rsidP="006102C3">
      <w:pPr>
        <w:pStyle w:val="B1BodyText"/>
        <w:spacing w:line="360" w:lineRule="auto"/>
        <w:ind w:left="0"/>
        <w:rPr>
          <w:rFonts w:cs="Arial"/>
          <w:noProof/>
          <w:color w:val="auto"/>
        </w:rPr>
      </w:pPr>
    </w:p>
    <w:p w:rsidR="001E6208" w:rsidRPr="006102C3" w:rsidRDefault="001E6208" w:rsidP="006102C3">
      <w:pPr>
        <w:pStyle w:val="B1BodyText"/>
        <w:spacing w:line="360" w:lineRule="auto"/>
        <w:ind w:left="0"/>
        <w:rPr>
          <w:rFonts w:cs="Arial"/>
          <w:noProof/>
          <w:color w:val="auto"/>
        </w:rPr>
      </w:pPr>
    </w:p>
    <w:p w:rsidR="001E6208" w:rsidRPr="006102C3" w:rsidRDefault="001E6208" w:rsidP="006102C3">
      <w:pPr>
        <w:pStyle w:val="B1BodyText"/>
        <w:spacing w:line="360" w:lineRule="auto"/>
        <w:ind w:left="0"/>
        <w:rPr>
          <w:rFonts w:cs="Arial"/>
          <w:noProof/>
          <w:color w:val="auto"/>
        </w:rPr>
      </w:pPr>
    </w:p>
    <w:p w:rsidR="001E6208" w:rsidRPr="006102C3" w:rsidRDefault="001E6208" w:rsidP="006102C3">
      <w:pPr>
        <w:pStyle w:val="B1BodyText"/>
        <w:spacing w:line="360" w:lineRule="auto"/>
        <w:ind w:left="0"/>
        <w:rPr>
          <w:rFonts w:cs="Arial"/>
          <w:noProof/>
          <w:color w:val="auto"/>
        </w:rPr>
      </w:pPr>
    </w:p>
    <w:p w:rsidR="001E6208" w:rsidRPr="006102C3" w:rsidRDefault="001E6208" w:rsidP="006102C3">
      <w:pPr>
        <w:pStyle w:val="B1BodyText"/>
        <w:spacing w:line="360" w:lineRule="auto"/>
        <w:ind w:left="0"/>
        <w:rPr>
          <w:rFonts w:cs="Arial"/>
          <w:noProof/>
          <w:color w:val="auto"/>
        </w:rPr>
      </w:pPr>
    </w:p>
    <w:p w:rsidR="001E6208" w:rsidRPr="006102C3" w:rsidRDefault="001E6208" w:rsidP="006102C3">
      <w:pPr>
        <w:pStyle w:val="B1BodyText"/>
        <w:spacing w:line="360" w:lineRule="auto"/>
        <w:ind w:left="0"/>
        <w:rPr>
          <w:rFonts w:cs="Arial"/>
          <w:noProof/>
          <w:color w:val="auto"/>
        </w:rPr>
      </w:pPr>
    </w:p>
    <w:p w:rsidR="001E6208" w:rsidRPr="006102C3" w:rsidRDefault="001E6208" w:rsidP="006102C3">
      <w:pPr>
        <w:pStyle w:val="B1BodyText"/>
        <w:spacing w:line="360" w:lineRule="auto"/>
        <w:ind w:left="0"/>
        <w:rPr>
          <w:rFonts w:cs="Arial"/>
          <w:noProof/>
          <w:color w:val="auto"/>
        </w:rPr>
      </w:pPr>
    </w:p>
    <w:p w:rsidR="001E6208" w:rsidRPr="006102C3" w:rsidRDefault="001E6208" w:rsidP="006102C3">
      <w:pPr>
        <w:pStyle w:val="B1BodyText"/>
        <w:spacing w:line="360" w:lineRule="auto"/>
        <w:ind w:left="0"/>
        <w:rPr>
          <w:rFonts w:cs="Arial"/>
          <w:noProof/>
          <w:color w:val="auto"/>
        </w:rPr>
      </w:pPr>
    </w:p>
    <w:p w:rsidR="001E6208" w:rsidRPr="006102C3" w:rsidRDefault="001E6208" w:rsidP="006102C3">
      <w:pPr>
        <w:pStyle w:val="B1BodyText"/>
        <w:spacing w:line="360" w:lineRule="auto"/>
        <w:ind w:left="0"/>
        <w:rPr>
          <w:rFonts w:cs="Arial"/>
          <w:noProof/>
          <w:color w:val="auto"/>
        </w:rPr>
      </w:pPr>
    </w:p>
    <w:p w:rsidR="001E6208" w:rsidRPr="006102C3" w:rsidRDefault="001E6208" w:rsidP="006102C3">
      <w:pPr>
        <w:pStyle w:val="B1BodyText"/>
        <w:spacing w:line="360" w:lineRule="auto"/>
        <w:ind w:left="0"/>
        <w:rPr>
          <w:rFonts w:cs="Arial"/>
          <w:noProof/>
          <w:color w:val="auto"/>
        </w:rPr>
      </w:pPr>
    </w:p>
    <w:p w:rsidR="001E6208" w:rsidRPr="006102C3" w:rsidRDefault="001E6208" w:rsidP="006102C3">
      <w:pPr>
        <w:pStyle w:val="B1BodyText"/>
        <w:spacing w:line="360" w:lineRule="auto"/>
        <w:ind w:left="0"/>
        <w:rPr>
          <w:rFonts w:cs="Arial"/>
          <w:noProof/>
          <w:color w:val="auto"/>
        </w:rPr>
      </w:pPr>
    </w:p>
    <w:p w:rsidR="0099281C" w:rsidRPr="006102C3" w:rsidRDefault="0099281C" w:rsidP="006102C3">
      <w:pPr>
        <w:pStyle w:val="B1BodyText"/>
        <w:spacing w:line="360" w:lineRule="auto"/>
        <w:ind w:left="0"/>
        <w:rPr>
          <w:rFonts w:cs="Arial"/>
          <w:b/>
          <w:color w:val="auto"/>
          <w:sz w:val="24"/>
        </w:rPr>
      </w:pPr>
      <w:r w:rsidRPr="006102C3">
        <w:rPr>
          <w:rFonts w:cs="Arial"/>
          <w:b/>
          <w:color w:val="auto"/>
          <w:sz w:val="24"/>
        </w:rPr>
        <w:lastRenderedPageBreak/>
        <w:t>Scottish Social Services Council</w:t>
      </w:r>
      <w:r w:rsidR="00C67CF1" w:rsidRPr="006102C3">
        <w:rPr>
          <w:rFonts w:cs="Arial"/>
          <w:b/>
          <w:color w:val="auto"/>
          <w:sz w:val="24"/>
        </w:rPr>
        <w:t xml:space="preserve"> (SSSC)</w:t>
      </w:r>
    </w:p>
    <w:p w:rsidR="001E6208" w:rsidRPr="006102C3" w:rsidRDefault="001E6208" w:rsidP="006102C3">
      <w:pPr>
        <w:shd w:val="clear" w:color="auto" w:fill="FFFFFF"/>
        <w:spacing w:before="100" w:beforeAutospacing="1" w:after="100" w:afterAutospacing="1" w:line="360" w:lineRule="auto"/>
        <w:rPr>
          <w:rFonts w:ascii="Arial" w:hAnsi="Arial" w:cs="Arial"/>
          <w:sz w:val="22"/>
          <w:szCs w:val="22"/>
          <w:lang w:eastAsia="en-GB"/>
        </w:rPr>
      </w:pPr>
      <w:r w:rsidRPr="006102C3">
        <w:rPr>
          <w:rFonts w:ascii="Arial" w:hAnsi="Arial" w:cs="Arial"/>
          <w:sz w:val="22"/>
          <w:szCs w:val="22"/>
          <w:lang w:eastAsia="en-GB"/>
        </w:rPr>
        <w:t xml:space="preserve">The SSSC is responsible for regulating the social care profession in Scotland. </w:t>
      </w:r>
    </w:p>
    <w:p w:rsidR="001E6208" w:rsidRPr="006102C3" w:rsidRDefault="001E6208" w:rsidP="006102C3">
      <w:pPr>
        <w:shd w:val="clear" w:color="auto" w:fill="FFFFFF"/>
        <w:spacing w:before="100" w:beforeAutospacing="1" w:after="100" w:afterAutospacing="1" w:line="360" w:lineRule="auto"/>
        <w:rPr>
          <w:rFonts w:ascii="Arial" w:hAnsi="Arial" w:cs="Arial"/>
          <w:i/>
          <w:sz w:val="22"/>
          <w:szCs w:val="22"/>
          <w:lang w:eastAsia="en-GB"/>
        </w:rPr>
      </w:pPr>
      <w:proofErr w:type="spellStart"/>
      <w:r w:rsidRPr="006102C3">
        <w:rPr>
          <w:rFonts w:ascii="Arial" w:hAnsi="Arial" w:cs="Arial"/>
          <w:i/>
          <w:sz w:val="22"/>
          <w:szCs w:val="22"/>
          <w:lang w:eastAsia="en-GB"/>
        </w:rPr>
        <w:t>Caseholder</w:t>
      </w:r>
      <w:proofErr w:type="spellEnd"/>
    </w:p>
    <w:p w:rsidR="009D3CB8" w:rsidRPr="006102C3" w:rsidRDefault="00315383" w:rsidP="006102C3">
      <w:pPr>
        <w:shd w:val="clear" w:color="auto" w:fill="FFFFFF"/>
        <w:spacing w:before="100" w:beforeAutospacing="1" w:after="100" w:afterAutospacing="1" w:line="360" w:lineRule="auto"/>
        <w:rPr>
          <w:rFonts w:ascii="Arial" w:hAnsi="Arial" w:cs="Arial"/>
          <w:i/>
          <w:sz w:val="22"/>
          <w:szCs w:val="22"/>
          <w:lang w:eastAsia="en-GB"/>
        </w:rPr>
      </w:pPr>
      <w:r w:rsidRPr="006102C3">
        <w:rPr>
          <w:rFonts w:ascii="Arial" w:hAnsi="Arial" w:cs="Arial"/>
          <w:sz w:val="22"/>
          <w:szCs w:val="22"/>
          <w:lang w:eastAsia="en-GB"/>
        </w:rPr>
        <w:t xml:space="preserve">The SSSC initiates its investigation process by assigning a </w:t>
      </w:r>
      <w:proofErr w:type="spellStart"/>
      <w:r w:rsidRPr="006102C3">
        <w:rPr>
          <w:rFonts w:ascii="Arial" w:hAnsi="Arial" w:cs="Arial"/>
          <w:sz w:val="22"/>
          <w:szCs w:val="22"/>
          <w:lang w:eastAsia="en-GB"/>
        </w:rPr>
        <w:t>caseholder</w:t>
      </w:r>
      <w:proofErr w:type="spellEnd"/>
      <w:r w:rsidRPr="006102C3">
        <w:rPr>
          <w:rFonts w:ascii="Arial" w:hAnsi="Arial" w:cs="Arial"/>
          <w:sz w:val="22"/>
          <w:szCs w:val="22"/>
          <w:lang w:eastAsia="en-GB"/>
        </w:rPr>
        <w:t xml:space="preserve"> to a complaint. Under the SSSC’s conduct rules, the </w:t>
      </w:r>
      <w:proofErr w:type="spellStart"/>
      <w:r w:rsidRPr="006102C3">
        <w:rPr>
          <w:rFonts w:ascii="Arial" w:hAnsi="Arial" w:cs="Arial"/>
          <w:sz w:val="22"/>
          <w:szCs w:val="22"/>
          <w:lang w:eastAsia="en-GB"/>
        </w:rPr>
        <w:t>caseholder</w:t>
      </w:r>
      <w:proofErr w:type="spellEnd"/>
      <w:r w:rsidRPr="006102C3">
        <w:rPr>
          <w:rFonts w:ascii="Arial" w:hAnsi="Arial" w:cs="Arial"/>
          <w:sz w:val="22"/>
          <w:szCs w:val="22"/>
          <w:lang w:eastAsia="en-GB"/>
        </w:rPr>
        <w:t xml:space="preserve"> is empowered to take no further action, impose a sanction</w:t>
      </w:r>
      <w:r w:rsidR="00147F4B" w:rsidRPr="006102C3">
        <w:rPr>
          <w:rFonts w:ascii="Arial" w:hAnsi="Arial" w:cs="Arial"/>
          <w:sz w:val="22"/>
          <w:szCs w:val="22"/>
          <w:lang w:eastAsia="en-GB"/>
        </w:rPr>
        <w:t xml:space="preserve"> </w:t>
      </w:r>
      <w:r w:rsidR="00952A28" w:rsidRPr="006102C3">
        <w:rPr>
          <w:rFonts w:ascii="Arial" w:hAnsi="Arial" w:cs="Arial"/>
          <w:sz w:val="22"/>
          <w:szCs w:val="22"/>
          <w:lang w:eastAsia="en-GB"/>
        </w:rPr>
        <w:t>or refer the case to</w:t>
      </w:r>
      <w:r w:rsidR="009C0F74" w:rsidRPr="006102C3">
        <w:rPr>
          <w:rFonts w:ascii="Arial" w:hAnsi="Arial" w:cs="Arial"/>
          <w:sz w:val="22"/>
          <w:szCs w:val="22"/>
          <w:lang w:eastAsia="en-GB"/>
        </w:rPr>
        <w:t xml:space="preserve"> a</w:t>
      </w:r>
      <w:r w:rsidR="00952A28" w:rsidRPr="006102C3">
        <w:rPr>
          <w:rFonts w:ascii="Arial" w:hAnsi="Arial" w:cs="Arial"/>
          <w:sz w:val="22"/>
          <w:szCs w:val="22"/>
          <w:lang w:eastAsia="en-GB"/>
        </w:rPr>
        <w:t xml:space="preserve"> </w:t>
      </w:r>
      <w:r w:rsidR="008817CA" w:rsidRPr="006102C3">
        <w:rPr>
          <w:rFonts w:ascii="Arial" w:hAnsi="Arial" w:cs="Arial"/>
          <w:sz w:val="22"/>
          <w:szCs w:val="22"/>
          <w:lang w:eastAsia="en-GB"/>
        </w:rPr>
        <w:t>sub-committee (for example, the Preliminary Proceedings sub-committee and the conduct sub-committee).</w:t>
      </w:r>
      <w:r w:rsidR="00050FEE" w:rsidRPr="006102C3">
        <w:rPr>
          <w:rStyle w:val="FootnoteReference"/>
          <w:rFonts w:ascii="Arial" w:hAnsi="Arial" w:cs="Arial"/>
          <w:sz w:val="22"/>
          <w:szCs w:val="22"/>
          <w:lang w:eastAsia="en-GB"/>
        </w:rPr>
        <w:footnoteReference w:id="36"/>
      </w:r>
      <w:r w:rsidR="00FD1010" w:rsidRPr="006102C3">
        <w:rPr>
          <w:rFonts w:ascii="Arial" w:hAnsi="Arial" w:cs="Arial"/>
          <w:sz w:val="22"/>
          <w:szCs w:val="22"/>
          <w:lang w:eastAsia="en-GB"/>
        </w:rPr>
        <w:t xml:space="preserve"> The sub-committees are drawn from the membership of the Conduct Committee.</w:t>
      </w:r>
      <w:r w:rsidR="002F257D" w:rsidRPr="006102C3">
        <w:rPr>
          <w:rStyle w:val="FootnoteReference"/>
          <w:rFonts w:ascii="Arial" w:hAnsi="Arial" w:cs="Arial"/>
          <w:sz w:val="22"/>
          <w:szCs w:val="22"/>
          <w:lang w:eastAsia="en-GB"/>
        </w:rPr>
        <w:footnoteReference w:id="37"/>
      </w:r>
      <w:r w:rsidR="00FD1010" w:rsidRPr="006102C3">
        <w:rPr>
          <w:rFonts w:ascii="Arial" w:hAnsi="Arial" w:cs="Arial"/>
          <w:sz w:val="22"/>
          <w:szCs w:val="22"/>
          <w:lang w:eastAsia="en-GB"/>
        </w:rPr>
        <w:t xml:space="preserve"> </w:t>
      </w:r>
    </w:p>
    <w:p w:rsidR="00FD1010" w:rsidRPr="006102C3" w:rsidRDefault="00FD1010" w:rsidP="006102C3">
      <w:pPr>
        <w:shd w:val="clear" w:color="auto" w:fill="FFFFFF"/>
        <w:spacing w:before="100" w:beforeAutospacing="1" w:after="100" w:afterAutospacing="1" w:line="360" w:lineRule="auto"/>
        <w:rPr>
          <w:rFonts w:ascii="Arial" w:hAnsi="Arial" w:cs="Arial"/>
          <w:i/>
          <w:sz w:val="22"/>
          <w:szCs w:val="22"/>
          <w:lang w:eastAsia="en-GB"/>
        </w:rPr>
      </w:pPr>
      <w:r w:rsidRPr="006102C3">
        <w:rPr>
          <w:rFonts w:ascii="Arial" w:hAnsi="Arial" w:cs="Arial"/>
          <w:i/>
          <w:sz w:val="22"/>
          <w:szCs w:val="22"/>
          <w:lang w:eastAsia="en-GB"/>
        </w:rPr>
        <w:t>Conduct Committee</w:t>
      </w:r>
    </w:p>
    <w:p w:rsidR="00FD1010" w:rsidRPr="006102C3" w:rsidRDefault="00AB1431" w:rsidP="006102C3">
      <w:pPr>
        <w:autoSpaceDE w:val="0"/>
        <w:autoSpaceDN w:val="0"/>
        <w:adjustRightInd w:val="0"/>
        <w:spacing w:line="360" w:lineRule="auto"/>
        <w:rPr>
          <w:rFonts w:ascii="Arial" w:hAnsi="Arial" w:cs="Arial"/>
          <w:sz w:val="22"/>
          <w:szCs w:val="22"/>
          <w:lang w:val="en-GB" w:eastAsia="en-GB"/>
        </w:rPr>
      </w:pPr>
      <w:r w:rsidRPr="006102C3">
        <w:rPr>
          <w:rFonts w:ascii="Arial" w:hAnsi="Arial" w:cs="Arial"/>
          <w:sz w:val="22"/>
          <w:szCs w:val="22"/>
          <w:lang w:val="en-GB" w:eastAsia="en-GB"/>
        </w:rPr>
        <w:t xml:space="preserve">The </w:t>
      </w:r>
      <w:r w:rsidR="00254592" w:rsidRPr="006102C3">
        <w:rPr>
          <w:rFonts w:ascii="Arial" w:hAnsi="Arial" w:cs="Arial"/>
          <w:sz w:val="22"/>
          <w:szCs w:val="22"/>
          <w:lang w:val="en-GB" w:eastAsia="en-GB"/>
        </w:rPr>
        <w:t>Conduct Committee</w:t>
      </w:r>
      <w:r w:rsidR="008C1379" w:rsidRPr="006102C3">
        <w:rPr>
          <w:rFonts w:ascii="Arial" w:hAnsi="Arial" w:cs="Arial"/>
          <w:sz w:val="22"/>
          <w:szCs w:val="22"/>
          <w:lang w:val="en-GB" w:eastAsia="en-GB"/>
        </w:rPr>
        <w:t>, a regulatory committee,</w:t>
      </w:r>
      <w:r w:rsidRPr="006102C3">
        <w:rPr>
          <w:rFonts w:ascii="Arial" w:hAnsi="Arial" w:cs="Arial"/>
          <w:sz w:val="22"/>
          <w:szCs w:val="22"/>
          <w:lang w:val="en-GB" w:eastAsia="en-GB"/>
        </w:rPr>
        <w:t xml:space="preserve"> is established by the SSSC</w:t>
      </w:r>
      <w:r w:rsidR="00254592" w:rsidRPr="006102C3">
        <w:rPr>
          <w:rFonts w:ascii="Arial" w:hAnsi="Arial" w:cs="Arial"/>
          <w:sz w:val="22"/>
          <w:szCs w:val="22"/>
          <w:lang w:val="en-GB" w:eastAsia="en-GB"/>
        </w:rPr>
        <w:t xml:space="preserve">. </w:t>
      </w:r>
      <w:r w:rsidR="008C1379" w:rsidRPr="006102C3">
        <w:rPr>
          <w:rFonts w:ascii="Arial" w:hAnsi="Arial" w:cs="Arial"/>
          <w:sz w:val="22"/>
          <w:szCs w:val="22"/>
          <w:lang w:val="en-GB" w:eastAsia="en-GB"/>
        </w:rPr>
        <w:t>Moreover, it</w:t>
      </w:r>
      <w:r w:rsidR="008C1379" w:rsidRPr="006102C3">
        <w:rPr>
          <w:rFonts w:ascii="Arial" w:hAnsi="Arial" w:cs="Arial"/>
          <w:sz w:val="22"/>
          <w:szCs w:val="22"/>
        </w:rPr>
        <w:t xml:space="preserve"> </w:t>
      </w:r>
      <w:r w:rsidR="008C1379" w:rsidRPr="006102C3">
        <w:rPr>
          <w:rFonts w:ascii="Arial" w:hAnsi="Arial" w:cs="Arial"/>
          <w:sz w:val="22"/>
          <w:szCs w:val="22"/>
          <w:lang w:val="en-GB" w:eastAsia="en-GB"/>
        </w:rPr>
        <w:t>reports ‘to the Council on outcomes and disposals of the Preliminary Proceedings Sub-committees and Conduct Sub-committees as well as advising them of any training required for those Committees and Sub-committee members.’</w:t>
      </w:r>
      <w:r w:rsidR="002F257D" w:rsidRPr="006102C3">
        <w:rPr>
          <w:rStyle w:val="FootnoteReference"/>
          <w:rFonts w:ascii="Arial" w:hAnsi="Arial" w:cs="Arial"/>
          <w:sz w:val="22"/>
          <w:szCs w:val="22"/>
          <w:lang w:val="en-GB" w:eastAsia="en-GB"/>
        </w:rPr>
        <w:footnoteReference w:id="38"/>
      </w:r>
      <w:r w:rsidR="006F2222" w:rsidRPr="006102C3">
        <w:rPr>
          <w:rFonts w:ascii="Arial" w:hAnsi="Arial" w:cs="Arial"/>
          <w:sz w:val="22"/>
          <w:szCs w:val="22"/>
          <w:lang w:val="en-GB" w:eastAsia="en-GB"/>
        </w:rPr>
        <w:t xml:space="preserve"> The Conduct Committee consists of a pool of 60 people with an exact split between social </w:t>
      </w:r>
      <w:r w:rsidR="001B4F55" w:rsidRPr="006102C3">
        <w:rPr>
          <w:rFonts w:ascii="Arial" w:hAnsi="Arial" w:cs="Arial"/>
          <w:sz w:val="22"/>
          <w:szCs w:val="22"/>
          <w:lang w:val="en-GB" w:eastAsia="en-GB"/>
        </w:rPr>
        <w:t>care professionals and lay persons</w:t>
      </w:r>
      <w:r w:rsidR="006F2222" w:rsidRPr="006102C3">
        <w:rPr>
          <w:rFonts w:ascii="Arial" w:hAnsi="Arial" w:cs="Arial"/>
          <w:sz w:val="22"/>
          <w:szCs w:val="22"/>
          <w:lang w:val="en-GB" w:eastAsia="en-GB"/>
        </w:rPr>
        <w:t>. This cohort is recruited via announcement notices on the SSSC website and advertisements in Scottish publications. A recruitment process is ongoing currently. The Convenor of the Committee is drawn from the Council which is Scottish Government-appointed.</w:t>
      </w:r>
      <w:r w:rsidR="00850DF2" w:rsidRPr="006102C3">
        <w:rPr>
          <w:rStyle w:val="FootnoteReference"/>
          <w:rFonts w:ascii="Arial" w:hAnsi="Arial" w:cs="Arial"/>
          <w:sz w:val="22"/>
          <w:szCs w:val="22"/>
          <w:lang w:val="en-GB" w:eastAsia="en-GB"/>
        </w:rPr>
        <w:footnoteReference w:id="39"/>
      </w:r>
      <w:r w:rsidR="006F2222" w:rsidRPr="006102C3">
        <w:rPr>
          <w:rFonts w:ascii="Arial" w:hAnsi="Arial" w:cs="Arial"/>
          <w:sz w:val="22"/>
          <w:szCs w:val="22"/>
          <w:lang w:val="en-GB" w:eastAsia="en-GB"/>
        </w:rPr>
        <w:t xml:space="preserve"> U</w:t>
      </w:r>
      <w:r w:rsidR="00F9390C" w:rsidRPr="006102C3">
        <w:rPr>
          <w:rFonts w:ascii="Arial" w:hAnsi="Arial" w:cs="Arial"/>
          <w:sz w:val="22"/>
          <w:szCs w:val="22"/>
          <w:lang w:val="en-GB" w:eastAsia="en-GB"/>
        </w:rPr>
        <w:t>nder SSC conduct rules, ‘m</w:t>
      </w:r>
      <w:r w:rsidR="00254592" w:rsidRPr="006102C3">
        <w:rPr>
          <w:rFonts w:ascii="Arial" w:hAnsi="Arial" w:cs="Arial"/>
          <w:sz w:val="22"/>
          <w:szCs w:val="22"/>
          <w:lang w:val="en-GB" w:eastAsia="en-GB"/>
        </w:rPr>
        <w:t xml:space="preserve">embers of the Committee shall be appointed for a period not exceeding 3 years and shall be eligible for re-appointment for further periods not </w:t>
      </w:r>
      <w:r w:rsidR="00F9390C" w:rsidRPr="006102C3">
        <w:rPr>
          <w:rFonts w:ascii="Arial" w:hAnsi="Arial" w:cs="Arial"/>
          <w:sz w:val="22"/>
          <w:szCs w:val="22"/>
          <w:lang w:val="en-GB" w:eastAsia="en-GB"/>
        </w:rPr>
        <w:t>exceeding 4 years in total.’</w:t>
      </w:r>
      <w:r w:rsidR="002F257D" w:rsidRPr="006102C3">
        <w:rPr>
          <w:rStyle w:val="FootnoteReference"/>
          <w:rFonts w:ascii="Arial" w:hAnsi="Arial" w:cs="Arial"/>
          <w:sz w:val="22"/>
          <w:szCs w:val="22"/>
          <w:lang w:val="en-GB" w:eastAsia="en-GB"/>
        </w:rPr>
        <w:footnoteReference w:id="40"/>
      </w:r>
      <w:r w:rsidR="00F9390C" w:rsidRPr="006102C3">
        <w:rPr>
          <w:rFonts w:ascii="Arial" w:hAnsi="Arial" w:cs="Arial"/>
          <w:sz w:val="22"/>
          <w:szCs w:val="22"/>
          <w:lang w:val="en-GB" w:eastAsia="en-GB"/>
        </w:rPr>
        <w:t xml:space="preserve"> </w:t>
      </w:r>
    </w:p>
    <w:p w:rsidR="00952A28" w:rsidRPr="006102C3" w:rsidRDefault="00952A28" w:rsidP="006102C3">
      <w:pPr>
        <w:shd w:val="clear" w:color="auto" w:fill="FFFFFF"/>
        <w:spacing w:before="100" w:beforeAutospacing="1" w:after="100" w:afterAutospacing="1" w:line="360" w:lineRule="auto"/>
        <w:rPr>
          <w:rFonts w:ascii="Arial" w:hAnsi="Arial" w:cs="Arial"/>
          <w:i/>
          <w:sz w:val="22"/>
          <w:szCs w:val="22"/>
          <w:lang w:eastAsia="en-GB"/>
        </w:rPr>
      </w:pPr>
      <w:r w:rsidRPr="006102C3">
        <w:rPr>
          <w:rFonts w:ascii="Arial" w:hAnsi="Arial" w:cs="Arial"/>
          <w:i/>
          <w:sz w:val="22"/>
          <w:szCs w:val="22"/>
          <w:lang w:eastAsia="en-GB"/>
        </w:rPr>
        <w:t>Preliminary Proceedings sub-committee</w:t>
      </w:r>
      <w:r w:rsidR="004719DC" w:rsidRPr="006102C3">
        <w:rPr>
          <w:rFonts w:ascii="Arial" w:hAnsi="Arial" w:cs="Arial"/>
          <w:i/>
          <w:sz w:val="22"/>
          <w:szCs w:val="22"/>
          <w:lang w:eastAsia="en-GB"/>
        </w:rPr>
        <w:t xml:space="preserve"> and Conduct sub-committee</w:t>
      </w:r>
    </w:p>
    <w:p w:rsidR="0087567C" w:rsidRPr="006102C3" w:rsidRDefault="004719DC" w:rsidP="006102C3">
      <w:pPr>
        <w:autoSpaceDE w:val="0"/>
        <w:autoSpaceDN w:val="0"/>
        <w:adjustRightInd w:val="0"/>
        <w:spacing w:line="360" w:lineRule="auto"/>
        <w:rPr>
          <w:rFonts w:ascii="Arial" w:hAnsi="Arial" w:cs="Arial"/>
          <w:sz w:val="22"/>
          <w:szCs w:val="22"/>
          <w:lang w:val="en-GB" w:eastAsia="en-GB"/>
        </w:rPr>
      </w:pPr>
      <w:r w:rsidRPr="006102C3">
        <w:rPr>
          <w:rFonts w:ascii="Arial" w:hAnsi="Arial" w:cs="Arial"/>
          <w:sz w:val="22"/>
          <w:szCs w:val="22"/>
          <w:lang w:eastAsia="en-GB"/>
        </w:rPr>
        <w:t>The</w:t>
      </w:r>
      <w:r w:rsidR="00147F4B" w:rsidRPr="006102C3">
        <w:rPr>
          <w:rFonts w:ascii="Arial" w:hAnsi="Arial" w:cs="Arial"/>
          <w:sz w:val="22"/>
          <w:szCs w:val="22"/>
          <w:lang w:eastAsia="en-GB"/>
        </w:rPr>
        <w:t xml:space="preserve"> Preliminary Proceedings sub-committee is concerned wit</w:t>
      </w:r>
      <w:r w:rsidR="00FD1010" w:rsidRPr="006102C3">
        <w:rPr>
          <w:rFonts w:ascii="Arial" w:hAnsi="Arial" w:cs="Arial"/>
          <w:sz w:val="22"/>
          <w:szCs w:val="22"/>
          <w:lang w:eastAsia="en-GB"/>
        </w:rPr>
        <w:t>h considering applications for and imposing Interim Suspension Orders and/or Interim Conditions Orders.</w:t>
      </w:r>
      <w:r w:rsidRPr="006102C3">
        <w:rPr>
          <w:rFonts w:ascii="Arial" w:hAnsi="Arial" w:cs="Arial"/>
          <w:sz w:val="22"/>
          <w:szCs w:val="22"/>
          <w:lang w:eastAsia="en-GB"/>
        </w:rPr>
        <w:t xml:space="preserve"> The Conduct sub-committee’s remit relates to </w:t>
      </w:r>
      <w:r w:rsidR="002403F6" w:rsidRPr="006102C3">
        <w:rPr>
          <w:rFonts w:ascii="Arial" w:hAnsi="Arial" w:cs="Arial"/>
          <w:sz w:val="22"/>
          <w:szCs w:val="22"/>
          <w:lang w:eastAsia="en-GB"/>
        </w:rPr>
        <w:t>deciding whether the registrant has committed misconduct, the appropriate sanction if misconduct has been proved, whether the registrant should have conditions placed on their registration and applications regarding restoration to the register.</w:t>
      </w:r>
      <w:r w:rsidR="002F257D" w:rsidRPr="006102C3">
        <w:rPr>
          <w:rStyle w:val="FootnoteReference"/>
          <w:rFonts w:ascii="Arial" w:hAnsi="Arial" w:cs="Arial"/>
          <w:sz w:val="22"/>
          <w:szCs w:val="22"/>
          <w:lang w:eastAsia="en-GB"/>
        </w:rPr>
        <w:footnoteReference w:id="41"/>
      </w:r>
      <w:r w:rsidR="002403F6" w:rsidRPr="006102C3">
        <w:rPr>
          <w:rFonts w:ascii="Arial" w:hAnsi="Arial" w:cs="Arial"/>
          <w:sz w:val="22"/>
          <w:szCs w:val="22"/>
          <w:lang w:eastAsia="en-GB"/>
        </w:rPr>
        <w:t xml:space="preserve">  </w:t>
      </w:r>
      <w:r w:rsidR="00FD1010" w:rsidRPr="006102C3">
        <w:rPr>
          <w:rFonts w:ascii="Arial" w:hAnsi="Arial" w:cs="Arial"/>
          <w:sz w:val="22"/>
          <w:szCs w:val="22"/>
          <w:lang w:eastAsia="en-GB"/>
        </w:rPr>
        <w:t xml:space="preserve"> </w:t>
      </w:r>
      <w:r w:rsidR="00171320" w:rsidRPr="006102C3">
        <w:rPr>
          <w:rFonts w:ascii="Arial" w:hAnsi="Arial" w:cs="Arial"/>
          <w:sz w:val="22"/>
          <w:szCs w:val="22"/>
          <w:lang w:eastAsia="en-GB"/>
        </w:rPr>
        <w:t xml:space="preserve">According to the SSSC’s conduct </w:t>
      </w:r>
      <w:r w:rsidR="002403F6" w:rsidRPr="006102C3">
        <w:rPr>
          <w:rFonts w:ascii="Arial" w:hAnsi="Arial" w:cs="Arial"/>
          <w:sz w:val="22"/>
          <w:szCs w:val="22"/>
          <w:lang w:eastAsia="en-GB"/>
        </w:rPr>
        <w:t xml:space="preserve">rules both the Preliminary Proceedings sub-committee and </w:t>
      </w:r>
      <w:r w:rsidR="002403F6" w:rsidRPr="006102C3">
        <w:rPr>
          <w:rFonts w:ascii="Arial" w:hAnsi="Arial" w:cs="Arial"/>
          <w:sz w:val="22"/>
          <w:szCs w:val="22"/>
          <w:lang w:eastAsia="en-GB"/>
        </w:rPr>
        <w:lastRenderedPageBreak/>
        <w:t>the Conduct sub-committee</w:t>
      </w:r>
      <w:r w:rsidR="00171320" w:rsidRPr="006102C3">
        <w:rPr>
          <w:rFonts w:ascii="Arial" w:hAnsi="Arial" w:cs="Arial"/>
          <w:sz w:val="22"/>
          <w:szCs w:val="22"/>
          <w:lang w:eastAsia="en-GB"/>
        </w:rPr>
        <w:t xml:space="preserve"> </w:t>
      </w:r>
      <w:r w:rsidR="002403F6" w:rsidRPr="006102C3">
        <w:rPr>
          <w:rFonts w:ascii="Arial" w:hAnsi="Arial" w:cs="Arial"/>
          <w:sz w:val="22"/>
          <w:szCs w:val="22"/>
          <w:lang w:eastAsia="en-GB"/>
        </w:rPr>
        <w:t>are</w:t>
      </w:r>
      <w:r w:rsidRPr="006102C3">
        <w:rPr>
          <w:rFonts w:ascii="Arial" w:hAnsi="Arial" w:cs="Arial"/>
          <w:sz w:val="22"/>
          <w:szCs w:val="22"/>
          <w:lang w:eastAsia="en-GB"/>
        </w:rPr>
        <w:t xml:space="preserve"> comprised ‘</w:t>
      </w:r>
      <w:r w:rsidR="00171320" w:rsidRPr="006102C3">
        <w:rPr>
          <w:rFonts w:ascii="Arial" w:hAnsi="Arial" w:cs="Arial"/>
          <w:sz w:val="22"/>
          <w:szCs w:val="22"/>
          <w:lang w:val="en-GB" w:eastAsia="en-GB"/>
        </w:rPr>
        <w:t>from the pool of persons appointed by the Council to the Conduct Committee.’</w:t>
      </w:r>
      <w:r w:rsidRPr="006102C3">
        <w:rPr>
          <w:rFonts w:ascii="Arial" w:hAnsi="Arial" w:cs="Arial"/>
          <w:sz w:val="22"/>
          <w:szCs w:val="22"/>
          <w:lang w:val="en-GB" w:eastAsia="en-GB"/>
        </w:rPr>
        <w:t xml:space="preserve"> The maximum number of members </w:t>
      </w:r>
      <w:r w:rsidR="00F94D2A" w:rsidRPr="006102C3">
        <w:rPr>
          <w:rFonts w:ascii="Arial" w:hAnsi="Arial" w:cs="Arial"/>
          <w:sz w:val="22"/>
          <w:szCs w:val="22"/>
          <w:lang w:val="en-GB" w:eastAsia="en-GB"/>
        </w:rPr>
        <w:t xml:space="preserve">on a committee is five while two is necessary for a quorum. </w:t>
      </w:r>
      <w:r w:rsidR="004E11FC" w:rsidRPr="006102C3">
        <w:rPr>
          <w:rFonts w:ascii="Arial" w:hAnsi="Arial" w:cs="Arial"/>
          <w:sz w:val="22"/>
          <w:szCs w:val="22"/>
          <w:lang w:val="en-GB" w:eastAsia="en-GB"/>
        </w:rPr>
        <w:t>The conduct rules also state that ‘e</w:t>
      </w:r>
      <w:r w:rsidR="00F94D2A" w:rsidRPr="006102C3">
        <w:rPr>
          <w:rFonts w:ascii="Arial" w:hAnsi="Arial" w:cs="Arial"/>
          <w:sz w:val="22"/>
          <w:szCs w:val="22"/>
          <w:lang w:val="en-GB" w:eastAsia="en-GB"/>
        </w:rPr>
        <w:t>ach Sub-committee shall consist of at least one Lay Person and</w:t>
      </w:r>
      <w:r w:rsidR="004E11FC" w:rsidRPr="006102C3">
        <w:rPr>
          <w:rFonts w:ascii="Arial" w:hAnsi="Arial" w:cs="Arial"/>
          <w:sz w:val="22"/>
          <w:szCs w:val="22"/>
          <w:lang w:val="en-GB" w:eastAsia="en-GB"/>
        </w:rPr>
        <w:t xml:space="preserve"> </w:t>
      </w:r>
      <w:r w:rsidR="00F94D2A" w:rsidRPr="006102C3">
        <w:rPr>
          <w:rFonts w:ascii="Arial" w:hAnsi="Arial" w:cs="Arial"/>
          <w:sz w:val="22"/>
          <w:szCs w:val="22"/>
          <w:lang w:val="en-GB" w:eastAsia="en-GB"/>
        </w:rPr>
        <w:t>one Due Regard</w:t>
      </w:r>
      <w:r w:rsidR="003C28CB">
        <w:rPr>
          <w:rStyle w:val="FootnoteReference"/>
          <w:rFonts w:ascii="Arial" w:hAnsi="Arial" w:cs="Arial"/>
          <w:sz w:val="22"/>
          <w:szCs w:val="22"/>
          <w:lang w:val="en-GB" w:eastAsia="en-GB"/>
        </w:rPr>
        <w:footnoteReference w:id="42"/>
      </w:r>
      <w:r w:rsidR="00F94D2A" w:rsidRPr="006102C3">
        <w:rPr>
          <w:rFonts w:ascii="Arial" w:hAnsi="Arial" w:cs="Arial"/>
          <w:sz w:val="22"/>
          <w:szCs w:val="22"/>
          <w:lang w:val="en-GB" w:eastAsia="en-GB"/>
        </w:rPr>
        <w:t xml:space="preserve"> member</w:t>
      </w:r>
      <w:r w:rsidR="004E11FC" w:rsidRPr="006102C3">
        <w:rPr>
          <w:rFonts w:ascii="Arial" w:hAnsi="Arial" w:cs="Arial"/>
          <w:sz w:val="22"/>
          <w:szCs w:val="22"/>
          <w:lang w:val="en-GB" w:eastAsia="en-GB"/>
        </w:rPr>
        <w:t>.’</w:t>
      </w:r>
      <w:r w:rsidR="0025538D" w:rsidRPr="006102C3">
        <w:rPr>
          <w:rStyle w:val="FootnoteReference"/>
          <w:rFonts w:ascii="Arial" w:hAnsi="Arial" w:cs="Arial"/>
          <w:sz w:val="22"/>
          <w:szCs w:val="22"/>
          <w:lang w:val="en-GB" w:eastAsia="en-GB"/>
        </w:rPr>
        <w:footnoteReference w:id="43"/>
      </w:r>
      <w:r w:rsidR="004E11FC" w:rsidRPr="006102C3">
        <w:rPr>
          <w:rFonts w:ascii="Arial" w:hAnsi="Arial" w:cs="Arial"/>
          <w:sz w:val="22"/>
          <w:szCs w:val="22"/>
          <w:lang w:val="en-GB" w:eastAsia="en-GB"/>
        </w:rPr>
        <w:t xml:space="preserve"> Further, the SSSC appoints a Convenor of each sub-committee</w:t>
      </w:r>
      <w:r w:rsidR="00D767BC" w:rsidRPr="006102C3">
        <w:rPr>
          <w:rFonts w:ascii="Arial" w:hAnsi="Arial" w:cs="Arial"/>
          <w:sz w:val="22"/>
          <w:szCs w:val="22"/>
          <w:lang w:val="en-GB" w:eastAsia="en-GB"/>
        </w:rPr>
        <w:t xml:space="preserve"> (drawn from the Conduct Committee)</w:t>
      </w:r>
      <w:r w:rsidR="004E11FC" w:rsidRPr="006102C3">
        <w:rPr>
          <w:rFonts w:ascii="Arial" w:hAnsi="Arial" w:cs="Arial"/>
          <w:sz w:val="22"/>
          <w:szCs w:val="22"/>
          <w:lang w:val="en-GB" w:eastAsia="en-GB"/>
        </w:rPr>
        <w:t xml:space="preserve"> </w:t>
      </w:r>
      <w:r w:rsidR="004B5F38" w:rsidRPr="006102C3">
        <w:rPr>
          <w:rFonts w:ascii="Arial" w:hAnsi="Arial" w:cs="Arial"/>
          <w:sz w:val="22"/>
          <w:szCs w:val="22"/>
          <w:lang w:val="en-GB" w:eastAsia="en-GB"/>
        </w:rPr>
        <w:t>who must be a layperson.</w:t>
      </w:r>
      <w:r w:rsidR="00D767BC" w:rsidRPr="006102C3">
        <w:rPr>
          <w:rFonts w:ascii="Arial" w:hAnsi="Arial" w:cs="Arial"/>
          <w:sz w:val="22"/>
          <w:szCs w:val="22"/>
          <w:lang w:val="en-GB" w:eastAsia="en-GB"/>
        </w:rPr>
        <w:t xml:space="preserve"> </w:t>
      </w:r>
      <w:r w:rsidR="00F9390C" w:rsidRPr="006102C3">
        <w:rPr>
          <w:rFonts w:ascii="Arial" w:hAnsi="Arial" w:cs="Arial"/>
          <w:sz w:val="22"/>
          <w:szCs w:val="22"/>
          <w:lang w:val="en-GB" w:eastAsia="en-GB"/>
        </w:rPr>
        <w:t xml:space="preserve">Both these sub-committees are assisted by a </w:t>
      </w:r>
      <w:r w:rsidR="000E35C5" w:rsidRPr="006102C3">
        <w:rPr>
          <w:rFonts w:ascii="Arial" w:hAnsi="Arial" w:cs="Arial"/>
          <w:sz w:val="22"/>
          <w:szCs w:val="22"/>
          <w:lang w:val="en-GB" w:eastAsia="en-GB"/>
        </w:rPr>
        <w:t>Legal Advisor and a Clerk.</w:t>
      </w:r>
      <w:r w:rsidR="00331862" w:rsidRPr="006102C3">
        <w:rPr>
          <w:rFonts w:ascii="Arial" w:hAnsi="Arial" w:cs="Arial"/>
          <w:sz w:val="22"/>
          <w:szCs w:val="22"/>
          <w:lang w:val="en-GB" w:eastAsia="en-GB"/>
        </w:rPr>
        <w:t xml:space="preserve"> Finally, Conduct Rules note that ‘</w:t>
      </w:r>
      <w:r w:rsidR="00681902" w:rsidRPr="006102C3">
        <w:rPr>
          <w:rFonts w:ascii="Arial" w:hAnsi="Arial" w:cs="Arial"/>
          <w:sz w:val="22"/>
          <w:szCs w:val="22"/>
        </w:rPr>
        <w:t>d</w:t>
      </w:r>
      <w:r w:rsidR="00331862" w:rsidRPr="006102C3">
        <w:rPr>
          <w:rFonts w:ascii="Arial" w:hAnsi="Arial" w:cs="Arial"/>
          <w:sz w:val="22"/>
          <w:szCs w:val="22"/>
        </w:rPr>
        <w:t>ecisions of the Sub-committees shall be treated as those of the Council.’</w:t>
      </w:r>
      <w:r w:rsidR="002F257D" w:rsidRPr="006102C3">
        <w:rPr>
          <w:rStyle w:val="FootnoteReference"/>
          <w:rFonts w:ascii="Arial" w:hAnsi="Arial" w:cs="Arial"/>
          <w:sz w:val="22"/>
          <w:szCs w:val="22"/>
        </w:rPr>
        <w:footnoteReference w:id="44"/>
      </w:r>
      <w:r w:rsidR="00331862" w:rsidRPr="006102C3">
        <w:rPr>
          <w:rFonts w:ascii="Arial" w:hAnsi="Arial" w:cs="Arial"/>
          <w:sz w:val="22"/>
          <w:szCs w:val="22"/>
        </w:rPr>
        <w:t xml:space="preserve"> </w:t>
      </w:r>
      <w:r w:rsidR="000E35C5" w:rsidRPr="006102C3">
        <w:rPr>
          <w:rFonts w:ascii="Arial" w:hAnsi="Arial" w:cs="Arial"/>
          <w:sz w:val="22"/>
          <w:szCs w:val="22"/>
          <w:lang w:val="en-GB" w:eastAsia="en-GB"/>
        </w:rPr>
        <w:t xml:space="preserve"> </w:t>
      </w:r>
    </w:p>
    <w:p w:rsidR="00FD1010" w:rsidRPr="006102C3" w:rsidRDefault="001E6208" w:rsidP="006102C3">
      <w:pPr>
        <w:shd w:val="clear" w:color="auto" w:fill="FFFFFF"/>
        <w:spacing w:before="100" w:beforeAutospacing="1" w:after="100" w:afterAutospacing="1" w:line="360" w:lineRule="auto"/>
        <w:rPr>
          <w:rFonts w:ascii="Arial" w:hAnsi="Arial" w:cs="Arial"/>
          <w:i/>
          <w:sz w:val="22"/>
          <w:szCs w:val="22"/>
          <w:lang w:eastAsia="en-GB"/>
        </w:rPr>
      </w:pPr>
      <w:r w:rsidRPr="006102C3">
        <w:rPr>
          <w:rFonts w:ascii="Arial" w:hAnsi="Arial" w:cs="Arial"/>
          <w:i/>
          <w:sz w:val="22"/>
          <w:szCs w:val="22"/>
          <w:lang w:eastAsia="en-GB"/>
        </w:rPr>
        <w:t>Appeal process</w:t>
      </w:r>
    </w:p>
    <w:p w:rsidR="00625693" w:rsidRPr="006102C3" w:rsidRDefault="006F2222" w:rsidP="006102C3">
      <w:pPr>
        <w:shd w:val="clear" w:color="auto" w:fill="FFFFFF"/>
        <w:spacing w:before="100" w:beforeAutospacing="1" w:after="100" w:afterAutospacing="1" w:line="360" w:lineRule="auto"/>
        <w:rPr>
          <w:rFonts w:ascii="Arial" w:hAnsi="Arial" w:cs="Arial"/>
          <w:lang w:eastAsia="en-GB"/>
        </w:rPr>
      </w:pPr>
      <w:r w:rsidRPr="006102C3">
        <w:rPr>
          <w:rFonts w:ascii="Arial" w:hAnsi="Arial" w:cs="Arial"/>
          <w:sz w:val="22"/>
          <w:szCs w:val="22"/>
          <w:lang w:eastAsia="en-GB"/>
        </w:rPr>
        <w:t>A registrant has the right to appeal a decision by the SSSC although this process is facilitated through the Scottish courts system and not by the agency</w:t>
      </w:r>
      <w:r w:rsidRPr="006102C3">
        <w:rPr>
          <w:rFonts w:ascii="Arial" w:hAnsi="Arial" w:cs="Arial"/>
          <w:lang w:eastAsia="en-GB"/>
        </w:rPr>
        <w:t xml:space="preserve">. </w:t>
      </w:r>
    </w:p>
    <w:p w:rsidR="00EC3698" w:rsidRPr="006102C3" w:rsidRDefault="009C08B0" w:rsidP="006102C3">
      <w:pPr>
        <w:pStyle w:val="B1BodyText"/>
        <w:spacing w:line="360" w:lineRule="auto"/>
        <w:ind w:left="0"/>
        <w:rPr>
          <w:rFonts w:cs="Arial"/>
          <w:b/>
          <w:color w:val="auto"/>
          <w:sz w:val="24"/>
        </w:rPr>
      </w:pPr>
      <w:r w:rsidRPr="006102C3">
        <w:rPr>
          <w:rFonts w:cs="Arial"/>
          <w:b/>
          <w:color w:val="auto"/>
          <w:sz w:val="24"/>
        </w:rPr>
        <w:t>Care Council for Wales</w:t>
      </w:r>
    </w:p>
    <w:p w:rsidR="003B6807" w:rsidRPr="006102C3" w:rsidRDefault="00AF1351" w:rsidP="006102C3">
      <w:pPr>
        <w:spacing w:line="360" w:lineRule="auto"/>
        <w:rPr>
          <w:rFonts w:ascii="Arial" w:hAnsi="Arial" w:cs="Arial"/>
          <w:sz w:val="22"/>
          <w:szCs w:val="22"/>
          <w:shd w:val="clear" w:color="auto" w:fill="FFFFFF"/>
        </w:rPr>
      </w:pPr>
      <w:r w:rsidRPr="006102C3">
        <w:rPr>
          <w:rFonts w:ascii="Arial" w:hAnsi="Arial" w:cs="Arial"/>
          <w:sz w:val="22"/>
          <w:szCs w:val="22"/>
          <w:shd w:val="clear" w:color="auto" w:fill="FFFFFF"/>
        </w:rPr>
        <w:t xml:space="preserve">The Care Council for Wales (hereafter, the Care Council) is the regulatory body for the social care profession in Wales. The Care Council’s </w:t>
      </w:r>
      <w:r w:rsidR="003B6807" w:rsidRPr="006102C3">
        <w:rPr>
          <w:rFonts w:ascii="Arial" w:hAnsi="Arial" w:cs="Arial"/>
          <w:sz w:val="22"/>
          <w:szCs w:val="22"/>
          <w:shd w:val="clear" w:color="auto" w:fill="FFFFFF"/>
        </w:rPr>
        <w:t xml:space="preserve">disciplinary process begins </w:t>
      </w:r>
      <w:r w:rsidR="000D6CB1" w:rsidRPr="006102C3">
        <w:rPr>
          <w:rFonts w:ascii="Arial" w:hAnsi="Arial" w:cs="Arial"/>
          <w:sz w:val="22"/>
          <w:szCs w:val="22"/>
          <w:shd w:val="clear" w:color="auto" w:fill="FFFFFF"/>
        </w:rPr>
        <w:t xml:space="preserve">with the complaint being passed to an Internal Case Conference for an initial risk assessment. </w:t>
      </w:r>
    </w:p>
    <w:p w:rsidR="003B6807" w:rsidRPr="006102C3" w:rsidRDefault="003B6807" w:rsidP="006102C3">
      <w:pPr>
        <w:spacing w:line="360" w:lineRule="auto"/>
        <w:rPr>
          <w:rFonts w:ascii="Arial" w:hAnsi="Arial" w:cs="Arial"/>
          <w:i/>
          <w:sz w:val="22"/>
          <w:szCs w:val="22"/>
          <w:shd w:val="clear" w:color="auto" w:fill="FFFFFF"/>
        </w:rPr>
      </w:pPr>
    </w:p>
    <w:p w:rsidR="003B6807" w:rsidRPr="006102C3" w:rsidRDefault="003B6807" w:rsidP="006102C3">
      <w:pPr>
        <w:spacing w:line="360" w:lineRule="auto"/>
        <w:rPr>
          <w:rFonts w:ascii="Arial" w:hAnsi="Arial" w:cs="Arial"/>
          <w:sz w:val="22"/>
          <w:szCs w:val="22"/>
          <w:shd w:val="clear" w:color="auto" w:fill="FFFFFF"/>
        </w:rPr>
      </w:pPr>
      <w:r w:rsidRPr="006102C3">
        <w:rPr>
          <w:rFonts w:ascii="Arial" w:hAnsi="Arial" w:cs="Arial"/>
          <w:i/>
          <w:sz w:val="22"/>
          <w:szCs w:val="22"/>
          <w:shd w:val="clear" w:color="auto" w:fill="FFFFFF"/>
        </w:rPr>
        <w:t>Internal Case Conference</w:t>
      </w:r>
      <w:r w:rsidRPr="006102C3">
        <w:rPr>
          <w:rFonts w:ascii="Arial" w:hAnsi="Arial" w:cs="Arial"/>
          <w:sz w:val="22"/>
          <w:szCs w:val="22"/>
          <w:shd w:val="clear" w:color="auto" w:fill="FFFFFF"/>
        </w:rPr>
        <w:t xml:space="preserve"> </w:t>
      </w:r>
    </w:p>
    <w:p w:rsidR="003B6807" w:rsidRPr="006102C3" w:rsidRDefault="003B6807" w:rsidP="006102C3">
      <w:pPr>
        <w:spacing w:line="360" w:lineRule="auto"/>
        <w:rPr>
          <w:rFonts w:ascii="Arial" w:hAnsi="Arial" w:cs="Arial"/>
          <w:sz w:val="22"/>
          <w:szCs w:val="22"/>
          <w:shd w:val="clear" w:color="auto" w:fill="FFFFFF"/>
        </w:rPr>
      </w:pPr>
    </w:p>
    <w:p w:rsidR="000D6CB1" w:rsidRPr="006102C3" w:rsidRDefault="00AF1351" w:rsidP="006102C3">
      <w:pPr>
        <w:spacing w:line="360" w:lineRule="auto"/>
        <w:rPr>
          <w:rFonts w:ascii="Arial" w:hAnsi="Arial" w:cs="Arial"/>
          <w:sz w:val="22"/>
          <w:szCs w:val="22"/>
          <w:shd w:val="clear" w:color="auto" w:fill="FFFFFF"/>
        </w:rPr>
      </w:pPr>
      <w:r w:rsidRPr="006102C3">
        <w:rPr>
          <w:rFonts w:ascii="Arial" w:hAnsi="Arial" w:cs="Arial"/>
          <w:sz w:val="22"/>
          <w:szCs w:val="22"/>
          <w:shd w:val="clear" w:color="auto" w:fill="FFFFFF"/>
        </w:rPr>
        <w:t xml:space="preserve">This comprises Care Council’s </w:t>
      </w:r>
      <w:r w:rsidR="000D6CB1" w:rsidRPr="006102C3">
        <w:rPr>
          <w:rFonts w:ascii="Arial" w:hAnsi="Arial" w:cs="Arial"/>
          <w:sz w:val="22"/>
          <w:szCs w:val="22"/>
          <w:shd w:val="clear" w:color="auto" w:fill="FFFFFF"/>
        </w:rPr>
        <w:t>staff members including</w:t>
      </w:r>
      <w:r w:rsidR="009C08B0" w:rsidRPr="006102C3">
        <w:rPr>
          <w:rFonts w:ascii="Arial" w:hAnsi="Arial" w:cs="Arial"/>
          <w:sz w:val="22"/>
          <w:szCs w:val="22"/>
          <w:shd w:val="clear" w:color="auto" w:fill="FFFFFF"/>
        </w:rPr>
        <w:t xml:space="preserve"> the Director of Regulation and Professional Standards, the Conduct Investigations Manager and the Conduct Investigations Officers.</w:t>
      </w:r>
      <w:r w:rsidR="000D6CB1" w:rsidRPr="006102C3">
        <w:rPr>
          <w:rFonts w:ascii="Arial" w:hAnsi="Arial" w:cs="Arial"/>
          <w:sz w:val="22"/>
          <w:szCs w:val="22"/>
          <w:shd w:val="clear" w:color="auto" w:fill="FFFFFF"/>
        </w:rPr>
        <w:t xml:space="preserve"> These individuals are empowered to recommend to the Investigations Committee that an Interim Order be imposed on the registrant, to close the case to impose an undertaking and refer </w:t>
      </w:r>
      <w:r w:rsidR="004E6719" w:rsidRPr="006102C3">
        <w:rPr>
          <w:rFonts w:ascii="Arial" w:hAnsi="Arial" w:cs="Arial"/>
          <w:sz w:val="22"/>
          <w:szCs w:val="22"/>
          <w:shd w:val="clear" w:color="auto" w:fill="FFFFFF"/>
        </w:rPr>
        <w:t>the matter to the Investigating</w:t>
      </w:r>
      <w:r w:rsidR="000D6CB1" w:rsidRPr="006102C3">
        <w:rPr>
          <w:rFonts w:ascii="Arial" w:hAnsi="Arial" w:cs="Arial"/>
          <w:sz w:val="22"/>
          <w:szCs w:val="22"/>
          <w:shd w:val="clear" w:color="auto" w:fill="FFFFFF"/>
        </w:rPr>
        <w:t xml:space="preserve"> Committee</w:t>
      </w:r>
      <w:r w:rsidR="004E6719" w:rsidRPr="006102C3">
        <w:rPr>
          <w:rFonts w:ascii="Arial" w:hAnsi="Arial" w:cs="Arial"/>
          <w:sz w:val="22"/>
          <w:szCs w:val="22"/>
          <w:shd w:val="clear" w:color="auto" w:fill="FFFFFF"/>
        </w:rPr>
        <w:t xml:space="preserve"> (IC)</w:t>
      </w:r>
      <w:r w:rsidR="000D6CB1" w:rsidRPr="006102C3">
        <w:rPr>
          <w:rFonts w:ascii="Arial" w:hAnsi="Arial" w:cs="Arial"/>
          <w:sz w:val="22"/>
          <w:szCs w:val="22"/>
          <w:shd w:val="clear" w:color="auto" w:fill="FFFFFF"/>
        </w:rPr>
        <w:t>.</w:t>
      </w:r>
      <w:r w:rsidR="002F257D" w:rsidRPr="006102C3">
        <w:rPr>
          <w:rStyle w:val="FootnoteReference"/>
          <w:rFonts w:ascii="Arial" w:hAnsi="Arial" w:cs="Arial"/>
          <w:sz w:val="22"/>
          <w:szCs w:val="22"/>
          <w:shd w:val="clear" w:color="auto" w:fill="FFFFFF"/>
        </w:rPr>
        <w:footnoteReference w:id="45"/>
      </w:r>
      <w:r w:rsidR="000D6CB1" w:rsidRPr="006102C3">
        <w:rPr>
          <w:rFonts w:ascii="Arial" w:hAnsi="Arial" w:cs="Arial"/>
          <w:sz w:val="22"/>
          <w:szCs w:val="22"/>
          <w:shd w:val="clear" w:color="auto" w:fill="FFFFFF"/>
        </w:rPr>
        <w:t xml:space="preserve"> </w:t>
      </w:r>
      <w:r w:rsidR="004E6719" w:rsidRPr="006102C3">
        <w:rPr>
          <w:rFonts w:ascii="Arial" w:hAnsi="Arial" w:cs="Arial"/>
          <w:sz w:val="22"/>
          <w:szCs w:val="22"/>
          <w:shd w:val="clear" w:color="auto" w:fill="FFFFFF"/>
        </w:rPr>
        <w:t xml:space="preserve">After considering the evidence further the IC may refer the case to the Conduct Committee.  </w:t>
      </w:r>
    </w:p>
    <w:p w:rsidR="009C08B0" w:rsidRPr="006102C3" w:rsidRDefault="000D6CB1" w:rsidP="006102C3">
      <w:pPr>
        <w:spacing w:line="360" w:lineRule="auto"/>
        <w:rPr>
          <w:rFonts w:ascii="Arial" w:hAnsi="Arial" w:cs="Arial"/>
          <w:sz w:val="22"/>
          <w:szCs w:val="22"/>
          <w:shd w:val="clear" w:color="auto" w:fill="FFFFFF"/>
        </w:rPr>
      </w:pPr>
      <w:r w:rsidRPr="006102C3">
        <w:rPr>
          <w:rFonts w:ascii="Arial" w:hAnsi="Arial" w:cs="Arial"/>
          <w:sz w:val="22"/>
          <w:szCs w:val="22"/>
          <w:shd w:val="clear" w:color="auto" w:fill="FFFFFF"/>
        </w:rPr>
        <w:t xml:space="preserve">  </w:t>
      </w:r>
    </w:p>
    <w:p w:rsidR="004E6719" w:rsidRPr="006102C3" w:rsidRDefault="004E6719" w:rsidP="006102C3">
      <w:pPr>
        <w:spacing w:line="360" w:lineRule="auto"/>
        <w:rPr>
          <w:rFonts w:ascii="Arial" w:hAnsi="Arial" w:cs="Arial"/>
          <w:i/>
          <w:sz w:val="22"/>
          <w:szCs w:val="22"/>
          <w:shd w:val="clear" w:color="auto" w:fill="FFFFFF"/>
        </w:rPr>
      </w:pPr>
      <w:r w:rsidRPr="006102C3">
        <w:rPr>
          <w:rFonts w:ascii="Arial" w:hAnsi="Arial" w:cs="Arial"/>
          <w:i/>
          <w:sz w:val="22"/>
          <w:szCs w:val="22"/>
          <w:shd w:val="clear" w:color="auto" w:fill="FFFFFF"/>
        </w:rPr>
        <w:t>Investigating Committee and the Conduct Committee</w:t>
      </w:r>
    </w:p>
    <w:p w:rsidR="004E6719" w:rsidRPr="006102C3" w:rsidRDefault="004E6719" w:rsidP="006102C3">
      <w:pPr>
        <w:spacing w:line="360" w:lineRule="auto"/>
        <w:rPr>
          <w:rFonts w:ascii="Arial" w:hAnsi="Arial" w:cs="Arial"/>
          <w:sz w:val="22"/>
          <w:szCs w:val="22"/>
          <w:shd w:val="clear" w:color="auto" w:fill="FFFFFF"/>
        </w:rPr>
      </w:pPr>
    </w:p>
    <w:p w:rsidR="006102C3" w:rsidRDefault="00D6071E" w:rsidP="006102C3">
      <w:pPr>
        <w:spacing w:line="360" w:lineRule="auto"/>
        <w:rPr>
          <w:rFonts w:ascii="Arial" w:hAnsi="Arial" w:cs="Arial"/>
          <w:sz w:val="22"/>
          <w:szCs w:val="22"/>
          <w:shd w:val="clear" w:color="auto" w:fill="FFFFFF"/>
        </w:rPr>
      </w:pPr>
      <w:r w:rsidRPr="006102C3">
        <w:rPr>
          <w:rFonts w:ascii="Arial" w:hAnsi="Arial" w:cs="Arial"/>
          <w:sz w:val="22"/>
          <w:szCs w:val="22"/>
          <w:shd w:val="clear" w:color="auto" w:fill="FFFFFF"/>
        </w:rPr>
        <w:t>In accordance with the Care Council’s Rules, b</w:t>
      </w:r>
      <w:r w:rsidR="004E6719" w:rsidRPr="006102C3">
        <w:rPr>
          <w:rFonts w:ascii="Arial" w:hAnsi="Arial" w:cs="Arial"/>
          <w:sz w:val="22"/>
          <w:szCs w:val="22"/>
          <w:shd w:val="clear" w:color="auto" w:fill="FFFFFF"/>
        </w:rPr>
        <w:t>oth the IC and the Conduct Committee are comprised of three members, two lay members (one is the committee chairperson) and one social care professional</w:t>
      </w:r>
      <w:r w:rsidRPr="006102C3">
        <w:rPr>
          <w:rFonts w:ascii="Arial" w:hAnsi="Arial" w:cs="Arial"/>
          <w:sz w:val="22"/>
          <w:szCs w:val="22"/>
          <w:shd w:val="clear" w:color="auto" w:fill="FFFFFF"/>
        </w:rPr>
        <w:t xml:space="preserve"> (registered with Care Council or eligible to be registered)</w:t>
      </w:r>
      <w:r w:rsidR="004E6719" w:rsidRPr="006102C3">
        <w:rPr>
          <w:rFonts w:ascii="Arial" w:hAnsi="Arial" w:cs="Arial"/>
          <w:sz w:val="22"/>
          <w:szCs w:val="22"/>
          <w:shd w:val="clear" w:color="auto" w:fill="FFFFFF"/>
        </w:rPr>
        <w:t xml:space="preserve">. These </w:t>
      </w:r>
      <w:r w:rsidR="004E6719" w:rsidRPr="006102C3">
        <w:rPr>
          <w:rFonts w:ascii="Arial" w:hAnsi="Arial" w:cs="Arial"/>
          <w:sz w:val="22"/>
          <w:szCs w:val="22"/>
          <w:shd w:val="clear" w:color="auto" w:fill="FFFFFF"/>
        </w:rPr>
        <w:lastRenderedPageBreak/>
        <w:t>individuals are recruited through public competition and appointed by the Care Council. Recruitment methods include</w:t>
      </w:r>
      <w:r w:rsidRPr="006102C3">
        <w:rPr>
          <w:rFonts w:ascii="Arial" w:hAnsi="Arial" w:cs="Arial"/>
          <w:sz w:val="22"/>
          <w:szCs w:val="22"/>
          <w:shd w:val="clear" w:color="auto" w:fill="FFFFFF"/>
        </w:rPr>
        <w:t xml:space="preserve"> advertisements on Care Council’s </w:t>
      </w:r>
      <w:r w:rsidR="004E6719" w:rsidRPr="006102C3">
        <w:rPr>
          <w:rFonts w:ascii="Arial" w:hAnsi="Arial" w:cs="Arial"/>
          <w:sz w:val="22"/>
          <w:szCs w:val="22"/>
          <w:shd w:val="clear" w:color="auto" w:fill="FFFFFF"/>
        </w:rPr>
        <w:t>website and in local and national Welsh newspapers.</w:t>
      </w:r>
      <w:r w:rsidR="002F257D" w:rsidRPr="006102C3">
        <w:rPr>
          <w:rStyle w:val="FootnoteReference"/>
          <w:rFonts w:ascii="Arial" w:hAnsi="Arial" w:cs="Arial"/>
          <w:sz w:val="22"/>
          <w:szCs w:val="22"/>
          <w:shd w:val="clear" w:color="auto" w:fill="FFFFFF"/>
        </w:rPr>
        <w:footnoteReference w:id="46"/>
      </w:r>
      <w:r w:rsidR="004E6719" w:rsidRPr="006102C3">
        <w:rPr>
          <w:rFonts w:ascii="Arial" w:hAnsi="Arial" w:cs="Arial"/>
          <w:sz w:val="22"/>
          <w:szCs w:val="22"/>
          <w:shd w:val="clear" w:color="auto" w:fill="FFFFFF"/>
        </w:rPr>
        <w:t xml:space="preserve"> </w:t>
      </w:r>
    </w:p>
    <w:p w:rsidR="006926E7" w:rsidRPr="006926E7" w:rsidRDefault="006926E7" w:rsidP="006102C3">
      <w:pPr>
        <w:spacing w:line="360" w:lineRule="auto"/>
        <w:rPr>
          <w:rFonts w:ascii="Arial" w:hAnsi="Arial" w:cs="Arial"/>
          <w:sz w:val="22"/>
          <w:szCs w:val="22"/>
          <w:shd w:val="clear" w:color="auto" w:fill="FFFFFF"/>
        </w:rPr>
      </w:pPr>
    </w:p>
    <w:p w:rsidR="004E6719" w:rsidRPr="006102C3" w:rsidRDefault="00D6071E" w:rsidP="006102C3">
      <w:pPr>
        <w:spacing w:line="360" w:lineRule="auto"/>
        <w:rPr>
          <w:rFonts w:ascii="Arial" w:hAnsi="Arial" w:cs="Arial"/>
          <w:i/>
          <w:sz w:val="22"/>
          <w:szCs w:val="22"/>
          <w:shd w:val="clear" w:color="auto" w:fill="FFFFFF"/>
        </w:rPr>
      </w:pPr>
      <w:r w:rsidRPr="006102C3">
        <w:rPr>
          <w:rFonts w:ascii="Arial" w:hAnsi="Arial" w:cs="Arial"/>
          <w:i/>
          <w:sz w:val="22"/>
          <w:szCs w:val="22"/>
          <w:shd w:val="clear" w:color="auto" w:fill="FFFFFF"/>
        </w:rPr>
        <w:t xml:space="preserve">Appeal process </w:t>
      </w:r>
    </w:p>
    <w:p w:rsidR="00EC3698" w:rsidRPr="006102C3" w:rsidRDefault="00D6071E" w:rsidP="006102C3">
      <w:pPr>
        <w:shd w:val="clear" w:color="auto" w:fill="FFFFFF"/>
        <w:spacing w:before="100" w:beforeAutospacing="1" w:after="100" w:afterAutospacing="1" w:line="360" w:lineRule="auto"/>
        <w:rPr>
          <w:rFonts w:ascii="Arial" w:hAnsi="Arial" w:cs="Arial"/>
          <w:sz w:val="22"/>
          <w:szCs w:val="22"/>
          <w:lang w:eastAsia="en-GB"/>
        </w:rPr>
      </w:pPr>
      <w:r w:rsidRPr="006102C3">
        <w:rPr>
          <w:rFonts w:ascii="Arial" w:hAnsi="Arial" w:cs="Arial"/>
          <w:sz w:val="22"/>
          <w:szCs w:val="22"/>
          <w:lang w:eastAsia="en-GB"/>
        </w:rPr>
        <w:t>A registrant has the right to appeal a decision by the Care Council although this process is facilitated through Her Majesty’s Courts and Tribunal Service and not the agency. The group established to hear appeals against Care Council decision is the First Tier (Care Standards) Tribunal.</w:t>
      </w:r>
      <w:r w:rsidR="002F257D" w:rsidRPr="006102C3">
        <w:rPr>
          <w:rStyle w:val="FootnoteReference"/>
          <w:rFonts w:ascii="Arial" w:hAnsi="Arial" w:cs="Arial"/>
          <w:sz w:val="22"/>
          <w:szCs w:val="22"/>
          <w:lang w:eastAsia="en-GB"/>
        </w:rPr>
        <w:footnoteReference w:id="47"/>
      </w:r>
      <w:r w:rsidRPr="006102C3">
        <w:rPr>
          <w:rFonts w:ascii="Arial" w:hAnsi="Arial" w:cs="Arial"/>
          <w:sz w:val="22"/>
          <w:szCs w:val="22"/>
          <w:lang w:eastAsia="en-GB"/>
        </w:rPr>
        <w:t xml:space="preserve"> </w:t>
      </w:r>
    </w:p>
    <w:p w:rsidR="00F14655" w:rsidRPr="006102C3" w:rsidRDefault="0099281C" w:rsidP="006102C3">
      <w:pPr>
        <w:pStyle w:val="B1BodyText"/>
        <w:spacing w:line="360" w:lineRule="auto"/>
        <w:ind w:left="0"/>
        <w:rPr>
          <w:rFonts w:cs="Arial"/>
          <w:b/>
          <w:color w:val="auto"/>
          <w:sz w:val="24"/>
        </w:rPr>
      </w:pPr>
      <w:r w:rsidRPr="006102C3">
        <w:rPr>
          <w:rFonts w:cs="Arial"/>
          <w:b/>
          <w:color w:val="auto"/>
          <w:sz w:val="24"/>
        </w:rPr>
        <w:t>Health and Care Professions Council</w:t>
      </w:r>
      <w:r w:rsidR="00C67CF1" w:rsidRPr="006102C3">
        <w:rPr>
          <w:rFonts w:cs="Arial"/>
          <w:b/>
          <w:color w:val="auto"/>
          <w:sz w:val="24"/>
        </w:rPr>
        <w:t xml:space="preserve"> (England) </w:t>
      </w:r>
    </w:p>
    <w:p w:rsidR="00A50CDC" w:rsidRPr="006102C3" w:rsidRDefault="00A50CDC" w:rsidP="006102C3">
      <w:pPr>
        <w:spacing w:line="360" w:lineRule="auto"/>
        <w:rPr>
          <w:rFonts w:ascii="Arial" w:hAnsi="Arial" w:cs="Arial"/>
          <w:b/>
        </w:rPr>
      </w:pPr>
    </w:p>
    <w:p w:rsidR="00AF1351" w:rsidRPr="006102C3" w:rsidRDefault="00A50CDC" w:rsidP="006102C3">
      <w:pPr>
        <w:spacing w:line="360" w:lineRule="auto"/>
        <w:rPr>
          <w:rFonts w:ascii="Arial" w:hAnsi="Arial" w:cs="Arial"/>
          <w:sz w:val="22"/>
          <w:szCs w:val="22"/>
        </w:rPr>
      </w:pPr>
      <w:r w:rsidRPr="006102C3">
        <w:rPr>
          <w:rFonts w:ascii="Arial" w:hAnsi="Arial" w:cs="Arial"/>
          <w:sz w:val="22"/>
          <w:szCs w:val="22"/>
        </w:rPr>
        <w:t>The Health and Care Professions Council (HCPC)</w:t>
      </w:r>
      <w:r w:rsidR="00B37B9B" w:rsidRPr="006102C3">
        <w:rPr>
          <w:rFonts w:ascii="Arial" w:hAnsi="Arial" w:cs="Arial"/>
          <w:sz w:val="22"/>
          <w:szCs w:val="22"/>
        </w:rPr>
        <w:t xml:space="preserve"> is a regulatory agency for England which </w:t>
      </w:r>
      <w:r w:rsidR="00D6000A" w:rsidRPr="006102C3">
        <w:rPr>
          <w:rFonts w:ascii="Arial" w:hAnsi="Arial" w:cs="Arial"/>
          <w:sz w:val="22"/>
          <w:szCs w:val="22"/>
        </w:rPr>
        <w:t xml:space="preserve">oversees </w:t>
      </w:r>
      <w:r w:rsidR="00B37B9B" w:rsidRPr="006102C3">
        <w:rPr>
          <w:rFonts w:ascii="Arial" w:hAnsi="Arial" w:cs="Arial"/>
          <w:sz w:val="22"/>
          <w:szCs w:val="22"/>
        </w:rPr>
        <w:t xml:space="preserve">the social care profession and others including </w:t>
      </w:r>
      <w:r w:rsidR="00D6000A" w:rsidRPr="006102C3">
        <w:rPr>
          <w:rFonts w:ascii="Arial" w:hAnsi="Arial" w:cs="Arial"/>
          <w:sz w:val="22"/>
          <w:szCs w:val="22"/>
        </w:rPr>
        <w:t xml:space="preserve">clinical scientists, </w:t>
      </w:r>
      <w:r w:rsidR="00B37B9B" w:rsidRPr="006102C3">
        <w:rPr>
          <w:rFonts w:ascii="Arial" w:hAnsi="Arial" w:cs="Arial"/>
          <w:sz w:val="22"/>
          <w:szCs w:val="22"/>
        </w:rPr>
        <w:t>paramedics</w:t>
      </w:r>
      <w:r w:rsidR="00D6000A" w:rsidRPr="006102C3">
        <w:rPr>
          <w:rFonts w:ascii="Arial" w:hAnsi="Arial" w:cs="Arial"/>
          <w:sz w:val="22"/>
          <w:szCs w:val="22"/>
        </w:rPr>
        <w:t xml:space="preserve"> and</w:t>
      </w:r>
      <w:r w:rsidR="00B37B9B" w:rsidRPr="006102C3">
        <w:rPr>
          <w:rFonts w:ascii="Arial" w:hAnsi="Arial" w:cs="Arial"/>
          <w:sz w:val="22"/>
          <w:szCs w:val="22"/>
        </w:rPr>
        <w:t xml:space="preserve"> r</w:t>
      </w:r>
      <w:r w:rsidR="00D6000A" w:rsidRPr="006102C3">
        <w:rPr>
          <w:rFonts w:ascii="Arial" w:hAnsi="Arial" w:cs="Arial"/>
          <w:sz w:val="22"/>
          <w:szCs w:val="22"/>
        </w:rPr>
        <w:t xml:space="preserve">adiographers. </w:t>
      </w:r>
    </w:p>
    <w:p w:rsidR="00BC2DC0" w:rsidRPr="006102C3" w:rsidRDefault="00BC2DC0" w:rsidP="006102C3">
      <w:pPr>
        <w:spacing w:line="360" w:lineRule="auto"/>
        <w:rPr>
          <w:rFonts w:ascii="Arial" w:hAnsi="Arial" w:cs="Arial"/>
          <w:sz w:val="22"/>
          <w:szCs w:val="22"/>
        </w:rPr>
      </w:pPr>
    </w:p>
    <w:p w:rsidR="00A50CDC" w:rsidRPr="006102C3" w:rsidRDefault="00AF1351" w:rsidP="006102C3">
      <w:pPr>
        <w:spacing w:line="360" w:lineRule="auto"/>
        <w:rPr>
          <w:rFonts w:ascii="Arial" w:hAnsi="Arial" w:cs="Arial"/>
          <w:sz w:val="22"/>
          <w:szCs w:val="22"/>
        </w:rPr>
      </w:pPr>
      <w:r w:rsidRPr="006102C3">
        <w:rPr>
          <w:rFonts w:ascii="Arial" w:hAnsi="Arial" w:cs="Arial"/>
          <w:sz w:val="22"/>
          <w:szCs w:val="22"/>
        </w:rPr>
        <w:t>The HCPC’s committees are</w:t>
      </w:r>
      <w:r w:rsidR="002F2AFC" w:rsidRPr="006102C3">
        <w:rPr>
          <w:rFonts w:ascii="Arial" w:hAnsi="Arial" w:cs="Arial"/>
          <w:sz w:val="22"/>
          <w:szCs w:val="22"/>
        </w:rPr>
        <w:t xml:space="preserve"> formed from a large pool of both social care professionals and la</w:t>
      </w:r>
      <w:r w:rsidR="00E930A4" w:rsidRPr="006102C3">
        <w:rPr>
          <w:rFonts w:ascii="Arial" w:hAnsi="Arial" w:cs="Arial"/>
          <w:sz w:val="22"/>
          <w:szCs w:val="22"/>
        </w:rPr>
        <w:t>y</w:t>
      </w:r>
      <w:r w:rsidR="001B4F55" w:rsidRPr="006102C3">
        <w:rPr>
          <w:rFonts w:ascii="Arial" w:hAnsi="Arial" w:cs="Arial"/>
          <w:sz w:val="22"/>
          <w:szCs w:val="22"/>
        </w:rPr>
        <w:t xml:space="preserve"> persons</w:t>
      </w:r>
      <w:r w:rsidR="00E930A4" w:rsidRPr="006102C3">
        <w:rPr>
          <w:rFonts w:ascii="Arial" w:hAnsi="Arial" w:cs="Arial"/>
          <w:sz w:val="22"/>
          <w:szCs w:val="22"/>
        </w:rPr>
        <w:t xml:space="preserve"> who are recruited via two separate </w:t>
      </w:r>
      <w:r w:rsidR="002F2AFC" w:rsidRPr="006102C3">
        <w:rPr>
          <w:rFonts w:ascii="Arial" w:hAnsi="Arial" w:cs="Arial"/>
          <w:sz w:val="22"/>
          <w:szCs w:val="22"/>
        </w:rPr>
        <w:t>process</w:t>
      </w:r>
      <w:r w:rsidR="00E930A4" w:rsidRPr="006102C3">
        <w:rPr>
          <w:rFonts w:ascii="Arial" w:hAnsi="Arial" w:cs="Arial"/>
          <w:sz w:val="22"/>
          <w:szCs w:val="22"/>
        </w:rPr>
        <w:t>es</w:t>
      </w:r>
      <w:r w:rsidR="002F2AFC" w:rsidRPr="006102C3">
        <w:rPr>
          <w:rFonts w:ascii="Arial" w:hAnsi="Arial" w:cs="Arial"/>
          <w:sz w:val="22"/>
          <w:szCs w:val="22"/>
        </w:rPr>
        <w:t>.</w:t>
      </w:r>
      <w:r w:rsidR="00E930A4" w:rsidRPr="006102C3">
        <w:rPr>
          <w:rFonts w:ascii="Arial" w:hAnsi="Arial" w:cs="Arial"/>
          <w:sz w:val="22"/>
          <w:szCs w:val="22"/>
        </w:rPr>
        <w:t xml:space="preserve"> Lay</w:t>
      </w:r>
      <w:r w:rsidR="001B4F55" w:rsidRPr="006102C3">
        <w:rPr>
          <w:rFonts w:ascii="Arial" w:hAnsi="Arial" w:cs="Arial"/>
          <w:sz w:val="22"/>
          <w:szCs w:val="22"/>
        </w:rPr>
        <w:t xml:space="preserve"> persons</w:t>
      </w:r>
      <w:r w:rsidR="00E930A4" w:rsidRPr="006102C3">
        <w:rPr>
          <w:rFonts w:ascii="Arial" w:hAnsi="Arial" w:cs="Arial"/>
          <w:sz w:val="22"/>
          <w:szCs w:val="22"/>
        </w:rPr>
        <w:t xml:space="preserve"> are recruited through advertisements in the </w:t>
      </w:r>
      <w:r w:rsidR="00E930A4" w:rsidRPr="006102C3">
        <w:rPr>
          <w:rFonts w:ascii="Arial" w:hAnsi="Arial" w:cs="Arial"/>
          <w:i/>
          <w:sz w:val="22"/>
          <w:szCs w:val="22"/>
        </w:rPr>
        <w:t xml:space="preserve">Guardian </w:t>
      </w:r>
      <w:r w:rsidR="00E930A4" w:rsidRPr="006102C3">
        <w:rPr>
          <w:rFonts w:ascii="Arial" w:hAnsi="Arial" w:cs="Arial"/>
          <w:sz w:val="22"/>
          <w:szCs w:val="22"/>
        </w:rPr>
        <w:t xml:space="preserve">while social care professionals are acquired via advertisements placed on the HCPC website, in the HCPC publication, </w:t>
      </w:r>
      <w:proofErr w:type="gramStart"/>
      <w:r w:rsidR="00E930A4" w:rsidRPr="006102C3">
        <w:rPr>
          <w:rFonts w:ascii="Arial" w:hAnsi="Arial" w:cs="Arial"/>
          <w:i/>
          <w:sz w:val="22"/>
          <w:szCs w:val="22"/>
        </w:rPr>
        <w:t>In</w:t>
      </w:r>
      <w:proofErr w:type="gramEnd"/>
      <w:r w:rsidR="00E930A4" w:rsidRPr="006102C3">
        <w:rPr>
          <w:rFonts w:ascii="Arial" w:hAnsi="Arial" w:cs="Arial"/>
          <w:i/>
          <w:sz w:val="22"/>
          <w:szCs w:val="22"/>
        </w:rPr>
        <w:t xml:space="preserve"> focus</w:t>
      </w:r>
      <w:r w:rsidR="00E930A4" w:rsidRPr="006102C3">
        <w:rPr>
          <w:rFonts w:ascii="Arial" w:hAnsi="Arial" w:cs="Arial"/>
          <w:sz w:val="22"/>
          <w:szCs w:val="22"/>
        </w:rPr>
        <w:t xml:space="preserve">, and in social care-related journals. </w:t>
      </w:r>
      <w:r w:rsidR="0090271A" w:rsidRPr="006102C3">
        <w:rPr>
          <w:rFonts w:ascii="Arial" w:hAnsi="Arial" w:cs="Arial"/>
          <w:sz w:val="22"/>
          <w:szCs w:val="22"/>
        </w:rPr>
        <w:t>Applicants must submit application forms and attend an interview. HCPC currently has a pool of 230</w:t>
      </w:r>
      <w:r w:rsidR="001B4F55" w:rsidRPr="006102C3">
        <w:rPr>
          <w:rFonts w:ascii="Arial" w:hAnsi="Arial" w:cs="Arial"/>
          <w:sz w:val="22"/>
          <w:szCs w:val="22"/>
        </w:rPr>
        <w:t xml:space="preserve"> panel members- 46 are lay persons</w:t>
      </w:r>
      <w:r w:rsidR="0090271A" w:rsidRPr="006102C3">
        <w:rPr>
          <w:rFonts w:ascii="Arial" w:hAnsi="Arial" w:cs="Arial"/>
          <w:sz w:val="22"/>
          <w:szCs w:val="22"/>
        </w:rPr>
        <w:t xml:space="preserve"> and 184 are social care professionals. Further, the HCPC</w:t>
      </w:r>
      <w:r w:rsidR="00E930A4" w:rsidRPr="006102C3">
        <w:rPr>
          <w:rFonts w:ascii="Arial" w:hAnsi="Arial" w:cs="Arial"/>
          <w:sz w:val="22"/>
          <w:szCs w:val="22"/>
        </w:rPr>
        <w:t xml:space="preserve"> </w:t>
      </w:r>
      <w:r w:rsidR="00B37B9B" w:rsidRPr="006102C3">
        <w:rPr>
          <w:rFonts w:ascii="Arial" w:hAnsi="Arial" w:cs="Arial"/>
          <w:sz w:val="22"/>
          <w:szCs w:val="22"/>
        </w:rPr>
        <w:t>has a separate recruitment pool for chairpersons. In total, there are 35 chairpersons- one is a social care professional and the remainder are lay</w:t>
      </w:r>
      <w:r w:rsidR="001B4F55" w:rsidRPr="006102C3">
        <w:rPr>
          <w:rFonts w:ascii="Arial" w:hAnsi="Arial" w:cs="Arial"/>
          <w:sz w:val="22"/>
          <w:szCs w:val="22"/>
        </w:rPr>
        <w:t xml:space="preserve"> persons</w:t>
      </w:r>
      <w:r w:rsidR="00B37B9B" w:rsidRPr="006102C3">
        <w:rPr>
          <w:rFonts w:ascii="Arial" w:hAnsi="Arial" w:cs="Arial"/>
          <w:sz w:val="22"/>
          <w:szCs w:val="22"/>
        </w:rPr>
        <w:t>.</w:t>
      </w:r>
      <w:r w:rsidR="002F257D" w:rsidRPr="006102C3">
        <w:rPr>
          <w:rStyle w:val="FootnoteReference"/>
          <w:rFonts w:ascii="Arial" w:hAnsi="Arial" w:cs="Arial"/>
          <w:sz w:val="22"/>
          <w:szCs w:val="22"/>
        </w:rPr>
        <w:footnoteReference w:id="48"/>
      </w:r>
      <w:r w:rsidR="00B37B9B" w:rsidRPr="006102C3">
        <w:rPr>
          <w:rFonts w:ascii="Arial" w:hAnsi="Arial" w:cs="Arial"/>
          <w:sz w:val="22"/>
          <w:szCs w:val="22"/>
        </w:rPr>
        <w:t xml:space="preserve">  </w:t>
      </w:r>
    </w:p>
    <w:p w:rsidR="006102C3" w:rsidRDefault="006102C3" w:rsidP="006102C3">
      <w:pPr>
        <w:spacing w:line="360" w:lineRule="auto"/>
        <w:rPr>
          <w:rFonts w:ascii="Arial" w:hAnsi="Arial" w:cs="Arial"/>
          <w:i/>
          <w:sz w:val="22"/>
          <w:szCs w:val="22"/>
        </w:rPr>
      </w:pPr>
    </w:p>
    <w:p w:rsidR="00AF1351" w:rsidRPr="006102C3" w:rsidRDefault="00AF1351" w:rsidP="006102C3">
      <w:pPr>
        <w:spacing w:line="360" w:lineRule="auto"/>
        <w:rPr>
          <w:rFonts w:ascii="Arial" w:hAnsi="Arial" w:cs="Arial"/>
          <w:i/>
          <w:sz w:val="22"/>
          <w:szCs w:val="22"/>
        </w:rPr>
      </w:pPr>
      <w:r w:rsidRPr="006102C3">
        <w:rPr>
          <w:rFonts w:ascii="Arial" w:hAnsi="Arial" w:cs="Arial"/>
          <w:i/>
          <w:sz w:val="22"/>
          <w:szCs w:val="22"/>
        </w:rPr>
        <w:t>Case manager</w:t>
      </w:r>
    </w:p>
    <w:p w:rsidR="00AF1351" w:rsidRPr="006102C3" w:rsidRDefault="00AF1351" w:rsidP="006102C3">
      <w:pPr>
        <w:spacing w:line="360" w:lineRule="auto"/>
        <w:rPr>
          <w:rFonts w:ascii="Arial" w:hAnsi="Arial" w:cs="Arial"/>
          <w:sz w:val="22"/>
          <w:szCs w:val="22"/>
        </w:rPr>
      </w:pPr>
    </w:p>
    <w:p w:rsidR="006102C3" w:rsidRPr="006102C3" w:rsidRDefault="00AF1351" w:rsidP="006102C3">
      <w:pPr>
        <w:spacing w:line="360" w:lineRule="auto"/>
        <w:rPr>
          <w:rFonts w:ascii="Arial" w:hAnsi="Arial" w:cs="Arial"/>
          <w:sz w:val="22"/>
          <w:szCs w:val="22"/>
        </w:rPr>
      </w:pPr>
      <w:r w:rsidRPr="006102C3">
        <w:rPr>
          <w:rFonts w:ascii="Arial" w:hAnsi="Arial" w:cs="Arial"/>
          <w:sz w:val="22"/>
          <w:szCs w:val="22"/>
        </w:rPr>
        <w:t xml:space="preserve">The HCPC complaints process commences with the case being referred to a case manager in the Fitness to </w:t>
      </w:r>
      <w:proofErr w:type="spellStart"/>
      <w:r w:rsidRPr="006102C3">
        <w:rPr>
          <w:rFonts w:ascii="Arial" w:hAnsi="Arial" w:cs="Arial"/>
          <w:sz w:val="22"/>
          <w:szCs w:val="22"/>
        </w:rPr>
        <w:t>Practise</w:t>
      </w:r>
      <w:proofErr w:type="spellEnd"/>
      <w:r w:rsidRPr="006102C3">
        <w:rPr>
          <w:rFonts w:ascii="Arial" w:hAnsi="Arial" w:cs="Arial"/>
          <w:sz w:val="22"/>
          <w:szCs w:val="22"/>
        </w:rPr>
        <w:t xml:space="preserve"> Department. The case manager determines whether a case meets the HCPC’s Standards of Acceptance and it is passed to the HCPC. There is no requirement </w:t>
      </w:r>
      <w:r w:rsidRPr="006102C3">
        <w:rPr>
          <w:rFonts w:ascii="Arial" w:hAnsi="Arial" w:cs="Arial"/>
          <w:sz w:val="22"/>
          <w:szCs w:val="22"/>
        </w:rPr>
        <w:lastRenderedPageBreak/>
        <w:t>for the case manager to be a social care professional or lay person.</w:t>
      </w:r>
      <w:r w:rsidR="002F257D" w:rsidRPr="006102C3">
        <w:rPr>
          <w:rStyle w:val="FootnoteReference"/>
          <w:rFonts w:ascii="Arial" w:hAnsi="Arial" w:cs="Arial"/>
          <w:sz w:val="22"/>
          <w:szCs w:val="22"/>
        </w:rPr>
        <w:footnoteReference w:id="49"/>
      </w:r>
      <w:r w:rsidRPr="006102C3">
        <w:rPr>
          <w:rFonts w:ascii="Arial" w:hAnsi="Arial" w:cs="Arial"/>
          <w:sz w:val="22"/>
          <w:szCs w:val="22"/>
        </w:rPr>
        <w:t xml:space="preserve"> After a further investigation by the HCPC the case is referred to the Investigating Committee. </w:t>
      </w:r>
    </w:p>
    <w:p w:rsidR="004F430A" w:rsidRDefault="00676214" w:rsidP="006102C3">
      <w:pPr>
        <w:spacing w:line="360" w:lineRule="auto"/>
        <w:rPr>
          <w:rFonts w:ascii="Arial" w:hAnsi="Arial" w:cs="Arial"/>
          <w:i/>
          <w:sz w:val="22"/>
          <w:szCs w:val="22"/>
        </w:rPr>
      </w:pPr>
      <w:r w:rsidRPr="006102C3">
        <w:rPr>
          <w:rFonts w:ascii="Arial" w:hAnsi="Arial" w:cs="Arial"/>
          <w:i/>
          <w:sz w:val="22"/>
          <w:szCs w:val="22"/>
        </w:rPr>
        <w:t>Investigating Committee (IC)</w:t>
      </w:r>
    </w:p>
    <w:p w:rsidR="006102C3" w:rsidRPr="006102C3" w:rsidRDefault="006102C3" w:rsidP="006102C3">
      <w:pPr>
        <w:spacing w:line="360" w:lineRule="auto"/>
        <w:rPr>
          <w:rFonts w:ascii="Arial" w:hAnsi="Arial" w:cs="Arial"/>
          <w:i/>
          <w:sz w:val="22"/>
          <w:szCs w:val="22"/>
        </w:rPr>
      </w:pPr>
    </w:p>
    <w:p w:rsidR="002F257D" w:rsidRPr="006102C3" w:rsidRDefault="00676214" w:rsidP="006102C3">
      <w:pPr>
        <w:spacing w:line="360" w:lineRule="auto"/>
        <w:rPr>
          <w:rFonts w:ascii="Arial" w:hAnsi="Arial" w:cs="Arial"/>
          <w:sz w:val="22"/>
          <w:szCs w:val="22"/>
        </w:rPr>
      </w:pPr>
      <w:r w:rsidRPr="006102C3">
        <w:rPr>
          <w:rFonts w:ascii="Arial" w:hAnsi="Arial" w:cs="Arial"/>
          <w:sz w:val="22"/>
          <w:szCs w:val="22"/>
        </w:rPr>
        <w:t xml:space="preserve">The IC is comprised of ‘at least three people, including someone from the relevant profession and a ‘lay’ person who is not from any of the professions we regulate.’ </w:t>
      </w:r>
      <w:r w:rsidR="002F2AFC" w:rsidRPr="006102C3">
        <w:rPr>
          <w:rFonts w:ascii="Arial" w:hAnsi="Arial" w:cs="Arial"/>
          <w:sz w:val="22"/>
          <w:szCs w:val="22"/>
        </w:rPr>
        <w:t>Like the case manager</w:t>
      </w:r>
      <w:r w:rsidR="004A5693" w:rsidRPr="006102C3">
        <w:rPr>
          <w:rFonts w:ascii="Arial" w:hAnsi="Arial" w:cs="Arial"/>
          <w:sz w:val="22"/>
          <w:szCs w:val="22"/>
        </w:rPr>
        <w:t>,</w:t>
      </w:r>
      <w:r w:rsidR="002F2AFC" w:rsidRPr="006102C3">
        <w:rPr>
          <w:rFonts w:ascii="Arial" w:hAnsi="Arial" w:cs="Arial"/>
          <w:sz w:val="22"/>
          <w:szCs w:val="22"/>
        </w:rPr>
        <w:t xml:space="preserve"> it is not compulsory for the chairperson to be either a social care professional or lay person. </w:t>
      </w:r>
      <w:r w:rsidR="004A5693" w:rsidRPr="006102C3">
        <w:rPr>
          <w:rFonts w:ascii="Arial" w:hAnsi="Arial" w:cs="Arial"/>
          <w:sz w:val="22"/>
          <w:szCs w:val="22"/>
        </w:rPr>
        <w:t xml:space="preserve">The </w:t>
      </w:r>
      <w:r w:rsidR="007B3DC5" w:rsidRPr="006102C3">
        <w:rPr>
          <w:rFonts w:ascii="Arial" w:hAnsi="Arial" w:cs="Arial"/>
          <w:sz w:val="22"/>
          <w:szCs w:val="22"/>
        </w:rPr>
        <w:t>registrant</w:t>
      </w:r>
      <w:r w:rsidR="004A5693" w:rsidRPr="006102C3">
        <w:rPr>
          <w:rFonts w:ascii="Arial" w:hAnsi="Arial" w:cs="Arial"/>
          <w:sz w:val="22"/>
          <w:szCs w:val="22"/>
        </w:rPr>
        <w:t xml:space="preserve"> </w:t>
      </w:r>
      <w:r w:rsidR="007B3DC5" w:rsidRPr="006102C3">
        <w:rPr>
          <w:rFonts w:ascii="Arial" w:hAnsi="Arial" w:cs="Arial"/>
          <w:sz w:val="22"/>
          <w:szCs w:val="22"/>
        </w:rPr>
        <w:t>has recourse to a judicial review if that individual believes that the HCPC has not followed ‘its process correctly.’</w:t>
      </w:r>
      <w:r w:rsidR="002F257D" w:rsidRPr="006102C3">
        <w:rPr>
          <w:rStyle w:val="FootnoteReference"/>
          <w:rFonts w:ascii="Arial" w:hAnsi="Arial" w:cs="Arial"/>
          <w:sz w:val="22"/>
          <w:szCs w:val="22"/>
        </w:rPr>
        <w:footnoteReference w:id="50"/>
      </w:r>
      <w:r w:rsidR="002F257D" w:rsidRPr="006102C3">
        <w:rPr>
          <w:rFonts w:ascii="Arial" w:hAnsi="Arial" w:cs="Arial"/>
          <w:sz w:val="22"/>
          <w:szCs w:val="22"/>
        </w:rPr>
        <w:t xml:space="preserve"> </w:t>
      </w:r>
    </w:p>
    <w:p w:rsidR="002F257D" w:rsidRPr="006102C3" w:rsidRDefault="002F257D" w:rsidP="006102C3">
      <w:pPr>
        <w:spacing w:line="360" w:lineRule="auto"/>
        <w:rPr>
          <w:rFonts w:ascii="Arial" w:hAnsi="Arial" w:cs="Arial"/>
          <w:sz w:val="22"/>
          <w:szCs w:val="22"/>
        </w:rPr>
      </w:pPr>
    </w:p>
    <w:p w:rsidR="004A5693" w:rsidRPr="006102C3" w:rsidRDefault="00676214" w:rsidP="006102C3">
      <w:pPr>
        <w:spacing w:line="360" w:lineRule="auto"/>
        <w:rPr>
          <w:rFonts w:ascii="Arial" w:hAnsi="Arial" w:cs="Arial"/>
          <w:sz w:val="22"/>
          <w:szCs w:val="22"/>
        </w:rPr>
      </w:pPr>
      <w:r w:rsidRPr="006102C3">
        <w:rPr>
          <w:rFonts w:ascii="Arial" w:hAnsi="Arial" w:cs="Arial"/>
          <w:sz w:val="22"/>
          <w:szCs w:val="22"/>
        </w:rPr>
        <w:t>Where the IC adjudges there is ‘a case to answer’, the matter</w:t>
      </w:r>
      <w:r w:rsidR="00F15955" w:rsidRPr="006102C3">
        <w:rPr>
          <w:rFonts w:ascii="Arial" w:hAnsi="Arial" w:cs="Arial"/>
          <w:sz w:val="22"/>
          <w:szCs w:val="22"/>
        </w:rPr>
        <w:t>, if it relates to alleged misconduct or incompetence,</w:t>
      </w:r>
      <w:r w:rsidRPr="006102C3">
        <w:rPr>
          <w:rFonts w:ascii="Arial" w:hAnsi="Arial" w:cs="Arial"/>
          <w:sz w:val="22"/>
          <w:szCs w:val="22"/>
        </w:rPr>
        <w:t xml:space="preserve"> will be referred to the Conduct and Competence Committee</w:t>
      </w:r>
      <w:r w:rsidR="007B3DC5" w:rsidRPr="006102C3">
        <w:rPr>
          <w:rFonts w:ascii="Arial" w:hAnsi="Arial" w:cs="Arial"/>
          <w:sz w:val="22"/>
          <w:szCs w:val="22"/>
        </w:rPr>
        <w:t xml:space="preserve">. </w:t>
      </w:r>
      <w:r w:rsidR="00C726AE" w:rsidRPr="006102C3">
        <w:rPr>
          <w:rFonts w:ascii="Arial" w:hAnsi="Arial" w:cs="Arial"/>
          <w:sz w:val="22"/>
          <w:szCs w:val="22"/>
        </w:rPr>
        <w:t>Where the case relates to concerns about the registrant’s health it will be referred to the Health Committee.</w:t>
      </w:r>
    </w:p>
    <w:p w:rsidR="004A5693" w:rsidRPr="006102C3" w:rsidRDefault="004A5693" w:rsidP="006102C3">
      <w:pPr>
        <w:spacing w:line="360" w:lineRule="auto"/>
        <w:rPr>
          <w:rFonts w:ascii="Arial" w:hAnsi="Arial" w:cs="Arial"/>
          <w:i/>
          <w:sz w:val="22"/>
          <w:szCs w:val="22"/>
        </w:rPr>
      </w:pPr>
    </w:p>
    <w:p w:rsidR="007B3DC5" w:rsidRPr="006102C3" w:rsidRDefault="007B3DC5" w:rsidP="006102C3">
      <w:pPr>
        <w:spacing w:line="360" w:lineRule="auto"/>
        <w:rPr>
          <w:rFonts w:ascii="Arial" w:hAnsi="Arial" w:cs="Arial"/>
          <w:i/>
          <w:sz w:val="22"/>
          <w:szCs w:val="22"/>
        </w:rPr>
      </w:pPr>
      <w:r w:rsidRPr="006102C3">
        <w:rPr>
          <w:rFonts w:ascii="Arial" w:hAnsi="Arial" w:cs="Arial"/>
          <w:i/>
          <w:sz w:val="22"/>
          <w:szCs w:val="22"/>
        </w:rPr>
        <w:t>Conduct and Competence Committee</w:t>
      </w:r>
      <w:r w:rsidR="00C726AE" w:rsidRPr="006102C3">
        <w:rPr>
          <w:rFonts w:ascii="Arial" w:hAnsi="Arial" w:cs="Arial"/>
          <w:i/>
          <w:sz w:val="22"/>
          <w:szCs w:val="22"/>
        </w:rPr>
        <w:t xml:space="preserve"> and Health Committee</w:t>
      </w:r>
    </w:p>
    <w:p w:rsidR="004F430A" w:rsidRPr="006102C3" w:rsidRDefault="004F430A" w:rsidP="006102C3">
      <w:pPr>
        <w:spacing w:line="360" w:lineRule="auto"/>
        <w:rPr>
          <w:rFonts w:ascii="Arial" w:hAnsi="Arial" w:cs="Arial"/>
          <w:sz w:val="22"/>
          <w:szCs w:val="22"/>
        </w:rPr>
      </w:pPr>
    </w:p>
    <w:p w:rsidR="004F430A" w:rsidRPr="006102C3" w:rsidRDefault="00C726AE" w:rsidP="006102C3">
      <w:pPr>
        <w:spacing w:line="360" w:lineRule="auto"/>
        <w:rPr>
          <w:rFonts w:ascii="Arial" w:hAnsi="Arial" w:cs="Arial"/>
          <w:sz w:val="22"/>
          <w:szCs w:val="22"/>
        </w:rPr>
      </w:pPr>
      <w:r w:rsidRPr="006102C3">
        <w:rPr>
          <w:rFonts w:ascii="Arial" w:hAnsi="Arial" w:cs="Arial"/>
          <w:sz w:val="22"/>
          <w:szCs w:val="22"/>
        </w:rPr>
        <w:t>Both the</w:t>
      </w:r>
      <w:r w:rsidR="004F430A" w:rsidRPr="006102C3">
        <w:rPr>
          <w:rFonts w:ascii="Arial" w:hAnsi="Arial" w:cs="Arial"/>
          <w:sz w:val="22"/>
          <w:szCs w:val="22"/>
        </w:rPr>
        <w:t xml:space="preserve"> Conduct and Competence Committee and Health Committee consist of a registrant from the same profession as the person being investigated, a lay person who is not registered with the HCPC and a chairperson (who may be a lay person or from a HCPC-regulated profession) who leads the hearing and speaks for the panel. In addition to the registrant and his/her legal representative, there is a Legal Assessor, a hearings officer, a transcriber and a HCPC official in attendance.</w:t>
      </w:r>
      <w:r w:rsidR="002F257D" w:rsidRPr="006102C3">
        <w:rPr>
          <w:rStyle w:val="FootnoteReference"/>
          <w:rFonts w:ascii="Arial" w:hAnsi="Arial" w:cs="Arial"/>
          <w:sz w:val="22"/>
          <w:szCs w:val="22"/>
        </w:rPr>
        <w:footnoteReference w:id="51"/>
      </w:r>
      <w:r w:rsidR="004F430A" w:rsidRPr="006102C3">
        <w:rPr>
          <w:rFonts w:ascii="Arial" w:hAnsi="Arial" w:cs="Arial"/>
          <w:sz w:val="22"/>
          <w:szCs w:val="22"/>
        </w:rPr>
        <w:t xml:space="preserve"> </w:t>
      </w:r>
    </w:p>
    <w:p w:rsidR="00676214" w:rsidRPr="006102C3" w:rsidRDefault="00676214" w:rsidP="006102C3">
      <w:pPr>
        <w:spacing w:line="360" w:lineRule="auto"/>
        <w:rPr>
          <w:rFonts w:ascii="Arial" w:hAnsi="Arial" w:cs="Arial"/>
          <w:sz w:val="22"/>
          <w:szCs w:val="22"/>
        </w:rPr>
      </w:pPr>
    </w:p>
    <w:p w:rsidR="00C726AE" w:rsidRPr="006102C3" w:rsidRDefault="004F430A" w:rsidP="006102C3">
      <w:pPr>
        <w:spacing w:line="360" w:lineRule="auto"/>
        <w:rPr>
          <w:rFonts w:ascii="Arial" w:hAnsi="Arial" w:cs="Arial"/>
          <w:i/>
          <w:sz w:val="22"/>
          <w:szCs w:val="22"/>
        </w:rPr>
      </w:pPr>
      <w:r w:rsidRPr="006102C3">
        <w:rPr>
          <w:rFonts w:ascii="Arial" w:hAnsi="Arial" w:cs="Arial"/>
          <w:i/>
          <w:sz w:val="22"/>
          <w:szCs w:val="22"/>
        </w:rPr>
        <w:t>Appeals process</w:t>
      </w:r>
    </w:p>
    <w:p w:rsidR="00F15955" w:rsidRPr="006102C3" w:rsidRDefault="00F15955" w:rsidP="006102C3">
      <w:pPr>
        <w:spacing w:line="360" w:lineRule="auto"/>
        <w:rPr>
          <w:rFonts w:ascii="Arial" w:hAnsi="Arial" w:cs="Arial"/>
          <w:sz w:val="22"/>
          <w:szCs w:val="22"/>
        </w:rPr>
      </w:pPr>
    </w:p>
    <w:p w:rsidR="00BC2DC0" w:rsidRPr="006102C3" w:rsidRDefault="00BC2DC0" w:rsidP="006102C3">
      <w:pPr>
        <w:spacing w:line="360" w:lineRule="auto"/>
        <w:rPr>
          <w:rFonts w:ascii="Arial" w:hAnsi="Arial" w:cs="Arial"/>
          <w:sz w:val="22"/>
          <w:szCs w:val="22"/>
        </w:rPr>
      </w:pPr>
      <w:r w:rsidRPr="006102C3">
        <w:rPr>
          <w:rFonts w:ascii="Arial" w:hAnsi="Arial" w:cs="Arial"/>
          <w:sz w:val="22"/>
          <w:szCs w:val="22"/>
        </w:rPr>
        <w:t xml:space="preserve">The HCPC does not oversee an appeal process but a registrant is permitted to </w:t>
      </w:r>
      <w:r w:rsidR="004F430A" w:rsidRPr="006102C3">
        <w:rPr>
          <w:rFonts w:ascii="Arial" w:hAnsi="Arial" w:cs="Arial"/>
          <w:sz w:val="22"/>
          <w:szCs w:val="22"/>
        </w:rPr>
        <w:t xml:space="preserve">appeal to the High Court in England and Wales or Northern Ireland, or the Court of Session in Scotland. </w:t>
      </w:r>
    </w:p>
    <w:p w:rsidR="00BC2DC0" w:rsidRPr="006102C3" w:rsidRDefault="00BC2DC0" w:rsidP="006102C3">
      <w:pPr>
        <w:spacing w:line="360" w:lineRule="auto"/>
        <w:rPr>
          <w:rFonts w:ascii="Arial" w:hAnsi="Arial" w:cs="Arial"/>
          <w:sz w:val="22"/>
          <w:szCs w:val="22"/>
        </w:rPr>
      </w:pPr>
    </w:p>
    <w:p w:rsidR="005A3A99" w:rsidRPr="006102C3" w:rsidRDefault="006B064E" w:rsidP="006102C3">
      <w:pPr>
        <w:spacing w:line="360" w:lineRule="auto"/>
        <w:rPr>
          <w:rFonts w:ascii="Arial" w:hAnsi="Arial" w:cs="Arial"/>
          <w:sz w:val="22"/>
          <w:szCs w:val="22"/>
        </w:rPr>
      </w:pPr>
      <w:r w:rsidRPr="006102C3">
        <w:rPr>
          <w:rFonts w:ascii="Arial" w:hAnsi="Arial" w:cs="Arial"/>
          <w:sz w:val="22"/>
          <w:szCs w:val="22"/>
        </w:rPr>
        <w:t>The Professional Standards Author</w:t>
      </w:r>
      <w:r w:rsidR="00675813" w:rsidRPr="006102C3">
        <w:rPr>
          <w:rFonts w:ascii="Arial" w:hAnsi="Arial" w:cs="Arial"/>
          <w:sz w:val="22"/>
          <w:szCs w:val="22"/>
        </w:rPr>
        <w:t>ity for Health and Social Care is responsible for reviewing ‘</w:t>
      </w:r>
      <w:r w:rsidR="004F430A" w:rsidRPr="006102C3">
        <w:rPr>
          <w:rFonts w:ascii="Arial" w:hAnsi="Arial" w:cs="Arial"/>
          <w:sz w:val="22"/>
          <w:szCs w:val="22"/>
        </w:rPr>
        <w:t xml:space="preserve">all final decisions made by the regulators’ fitness to </w:t>
      </w:r>
      <w:proofErr w:type="spellStart"/>
      <w:r w:rsidR="004F430A" w:rsidRPr="006102C3">
        <w:rPr>
          <w:rFonts w:ascii="Arial" w:hAnsi="Arial" w:cs="Arial"/>
          <w:sz w:val="22"/>
          <w:szCs w:val="22"/>
        </w:rPr>
        <w:t>practise</w:t>
      </w:r>
      <w:proofErr w:type="spellEnd"/>
      <w:r w:rsidR="004F430A" w:rsidRPr="006102C3">
        <w:rPr>
          <w:rFonts w:ascii="Arial" w:hAnsi="Arial" w:cs="Arial"/>
          <w:sz w:val="22"/>
          <w:szCs w:val="22"/>
        </w:rPr>
        <w:t xml:space="preserve"> committees.</w:t>
      </w:r>
      <w:r w:rsidR="00675813" w:rsidRPr="006102C3">
        <w:rPr>
          <w:rFonts w:ascii="Arial" w:hAnsi="Arial" w:cs="Arial"/>
          <w:sz w:val="22"/>
          <w:szCs w:val="22"/>
        </w:rPr>
        <w:t xml:space="preserve">’ It is empowered to refer decisions to the High Court in England, Wales, or Northern Ireland </w:t>
      </w:r>
      <w:r w:rsidR="004F430A" w:rsidRPr="006102C3">
        <w:rPr>
          <w:rFonts w:ascii="Arial" w:hAnsi="Arial" w:cs="Arial"/>
          <w:sz w:val="22"/>
          <w:szCs w:val="22"/>
        </w:rPr>
        <w:t xml:space="preserve">or the Court of </w:t>
      </w:r>
      <w:r w:rsidR="004F430A" w:rsidRPr="006102C3">
        <w:rPr>
          <w:rFonts w:ascii="Arial" w:hAnsi="Arial" w:cs="Arial"/>
          <w:sz w:val="22"/>
          <w:szCs w:val="22"/>
        </w:rPr>
        <w:lastRenderedPageBreak/>
        <w:t xml:space="preserve">Session in Scotland </w:t>
      </w:r>
      <w:r w:rsidR="00675813" w:rsidRPr="006102C3">
        <w:rPr>
          <w:rFonts w:ascii="Arial" w:hAnsi="Arial" w:cs="Arial"/>
          <w:sz w:val="22"/>
          <w:szCs w:val="22"/>
        </w:rPr>
        <w:t>‘</w:t>
      </w:r>
      <w:r w:rsidR="004F430A" w:rsidRPr="006102C3">
        <w:rPr>
          <w:rFonts w:ascii="Arial" w:hAnsi="Arial" w:cs="Arial"/>
          <w:sz w:val="22"/>
          <w:szCs w:val="22"/>
        </w:rPr>
        <w:t>if it considers that they are unduly lenient and do not protect the public</w:t>
      </w:r>
      <w:r w:rsidR="00675813" w:rsidRPr="006102C3">
        <w:rPr>
          <w:rFonts w:ascii="Arial" w:hAnsi="Arial" w:cs="Arial"/>
          <w:sz w:val="22"/>
          <w:szCs w:val="22"/>
        </w:rPr>
        <w:t>.’</w:t>
      </w:r>
      <w:r w:rsidR="002F257D" w:rsidRPr="006102C3">
        <w:rPr>
          <w:rStyle w:val="FootnoteReference"/>
          <w:rFonts w:ascii="Arial" w:hAnsi="Arial" w:cs="Arial"/>
          <w:sz w:val="22"/>
          <w:szCs w:val="22"/>
        </w:rPr>
        <w:footnoteReference w:id="52"/>
      </w:r>
      <w:r w:rsidR="00675813" w:rsidRPr="006102C3">
        <w:rPr>
          <w:rFonts w:ascii="Arial" w:hAnsi="Arial" w:cs="Arial"/>
          <w:sz w:val="22"/>
          <w:szCs w:val="22"/>
        </w:rPr>
        <w:t xml:space="preserve"> </w:t>
      </w:r>
    </w:p>
    <w:p w:rsidR="009A5AB7" w:rsidRPr="006102C3" w:rsidRDefault="009A5AB7" w:rsidP="006102C3">
      <w:pPr>
        <w:spacing w:line="360" w:lineRule="auto"/>
        <w:rPr>
          <w:rFonts w:ascii="Arial" w:hAnsi="Arial" w:cs="Arial"/>
          <w:sz w:val="22"/>
          <w:szCs w:val="22"/>
        </w:rPr>
      </w:pPr>
    </w:p>
    <w:p w:rsidR="0099281C" w:rsidRPr="006102C3" w:rsidRDefault="007C53B4" w:rsidP="006102C3">
      <w:pPr>
        <w:pStyle w:val="B1BodyText"/>
        <w:spacing w:line="360" w:lineRule="auto"/>
        <w:ind w:left="0"/>
        <w:rPr>
          <w:rFonts w:cs="Arial"/>
          <w:b/>
          <w:color w:val="auto"/>
          <w:sz w:val="24"/>
        </w:rPr>
      </w:pPr>
      <w:r w:rsidRPr="006102C3">
        <w:rPr>
          <w:rFonts w:cs="Arial"/>
          <w:b/>
          <w:color w:val="auto"/>
          <w:sz w:val="24"/>
        </w:rPr>
        <w:t>CORU (Republic of Ireland)</w:t>
      </w:r>
    </w:p>
    <w:p w:rsidR="00C14DD0" w:rsidRPr="006102C3" w:rsidRDefault="00C14DD0" w:rsidP="006102C3">
      <w:pPr>
        <w:spacing w:line="360" w:lineRule="auto"/>
        <w:rPr>
          <w:rFonts w:ascii="Arial" w:hAnsi="Arial" w:cs="Arial"/>
          <w:sz w:val="22"/>
          <w:szCs w:val="22"/>
        </w:rPr>
      </w:pPr>
      <w:r w:rsidRPr="006102C3">
        <w:rPr>
          <w:rFonts w:ascii="Arial" w:hAnsi="Arial" w:cs="Arial"/>
          <w:sz w:val="22"/>
          <w:szCs w:val="22"/>
        </w:rPr>
        <w:t xml:space="preserve">In the Republic of Ireland the social care profession is regulated by CORU. </w:t>
      </w:r>
      <w:r w:rsidR="0006548E" w:rsidRPr="006102C3">
        <w:rPr>
          <w:rFonts w:ascii="Arial" w:hAnsi="Arial" w:cs="Arial"/>
          <w:sz w:val="22"/>
          <w:szCs w:val="22"/>
        </w:rPr>
        <w:t xml:space="preserve">CORU covers </w:t>
      </w:r>
      <w:r w:rsidR="00E20BDA" w:rsidRPr="006102C3">
        <w:rPr>
          <w:rFonts w:ascii="Arial" w:hAnsi="Arial" w:cs="Arial"/>
          <w:sz w:val="22"/>
          <w:szCs w:val="22"/>
        </w:rPr>
        <w:t>the Health and Social Care Professionals Council and the Registration Boards established under the Health and Social Care Professionals Act 2005 (as amended).</w:t>
      </w:r>
      <w:r w:rsidR="002F257D" w:rsidRPr="006102C3">
        <w:rPr>
          <w:rStyle w:val="FootnoteReference"/>
          <w:rFonts w:ascii="Arial" w:hAnsi="Arial" w:cs="Arial"/>
          <w:sz w:val="22"/>
          <w:szCs w:val="22"/>
        </w:rPr>
        <w:footnoteReference w:id="53"/>
      </w:r>
    </w:p>
    <w:p w:rsidR="008E7B39" w:rsidRPr="006102C3" w:rsidRDefault="008E7B39" w:rsidP="006102C3">
      <w:pPr>
        <w:spacing w:line="360" w:lineRule="auto"/>
        <w:rPr>
          <w:rFonts w:ascii="Arial" w:hAnsi="Arial" w:cs="Arial"/>
          <w:sz w:val="22"/>
          <w:szCs w:val="22"/>
        </w:rPr>
      </w:pPr>
    </w:p>
    <w:p w:rsidR="001818A1" w:rsidRPr="006102C3" w:rsidRDefault="008E7B39" w:rsidP="006102C3">
      <w:pPr>
        <w:spacing w:line="360" w:lineRule="auto"/>
        <w:rPr>
          <w:rFonts w:ascii="Arial" w:hAnsi="Arial" w:cs="Arial"/>
          <w:sz w:val="22"/>
          <w:szCs w:val="22"/>
        </w:rPr>
      </w:pPr>
      <w:r w:rsidRPr="006102C3">
        <w:rPr>
          <w:rFonts w:ascii="Arial" w:hAnsi="Arial" w:cs="Arial"/>
          <w:sz w:val="22"/>
          <w:szCs w:val="22"/>
        </w:rPr>
        <w:t xml:space="preserve">The first stage in CORU’s complaints process is referral to its Preliminary Proceedings Committee (PPC). </w:t>
      </w:r>
    </w:p>
    <w:p w:rsidR="00626ADD" w:rsidRPr="006102C3" w:rsidRDefault="00626ADD" w:rsidP="006102C3">
      <w:pPr>
        <w:spacing w:line="360" w:lineRule="auto"/>
        <w:rPr>
          <w:rFonts w:ascii="Arial" w:hAnsi="Arial" w:cs="Arial"/>
          <w:i/>
        </w:rPr>
      </w:pPr>
    </w:p>
    <w:p w:rsidR="008E7B39" w:rsidRDefault="008E7B39" w:rsidP="006102C3">
      <w:pPr>
        <w:spacing w:line="360" w:lineRule="auto"/>
        <w:rPr>
          <w:rFonts w:ascii="Arial" w:hAnsi="Arial" w:cs="Arial"/>
          <w:i/>
        </w:rPr>
      </w:pPr>
      <w:r w:rsidRPr="006102C3">
        <w:rPr>
          <w:rFonts w:ascii="Arial" w:hAnsi="Arial" w:cs="Arial"/>
          <w:i/>
        </w:rPr>
        <w:t xml:space="preserve">Preliminary Proceedings Committee </w:t>
      </w:r>
    </w:p>
    <w:p w:rsidR="004A3606" w:rsidRPr="006102C3" w:rsidRDefault="004A3606" w:rsidP="006102C3">
      <w:pPr>
        <w:spacing w:line="360" w:lineRule="auto"/>
        <w:rPr>
          <w:rFonts w:ascii="Arial" w:hAnsi="Arial" w:cs="Arial"/>
          <w:i/>
        </w:rPr>
      </w:pPr>
    </w:p>
    <w:p w:rsidR="008E7B39" w:rsidRPr="006102C3" w:rsidRDefault="008E7B39" w:rsidP="006102C3">
      <w:pPr>
        <w:spacing w:line="360" w:lineRule="auto"/>
        <w:rPr>
          <w:rFonts w:ascii="Arial" w:hAnsi="Arial" w:cs="Arial"/>
          <w:sz w:val="22"/>
          <w:szCs w:val="22"/>
          <w:shd w:val="clear" w:color="auto" w:fill="FFFFFF"/>
        </w:rPr>
      </w:pPr>
      <w:r w:rsidRPr="006102C3">
        <w:rPr>
          <w:rFonts w:ascii="Arial" w:hAnsi="Arial" w:cs="Arial"/>
          <w:sz w:val="22"/>
          <w:szCs w:val="22"/>
        </w:rPr>
        <w:t>The PPC is comprised</w:t>
      </w:r>
      <w:r w:rsidR="008214B9" w:rsidRPr="006102C3">
        <w:rPr>
          <w:rFonts w:ascii="Arial" w:hAnsi="Arial" w:cs="Arial"/>
          <w:sz w:val="22"/>
          <w:szCs w:val="22"/>
        </w:rPr>
        <w:t xml:space="preserve"> of seven people including </w:t>
      </w:r>
      <w:r w:rsidR="008214B9" w:rsidRPr="006102C3">
        <w:rPr>
          <w:rFonts w:ascii="Arial" w:hAnsi="Arial" w:cs="Arial"/>
          <w:sz w:val="22"/>
          <w:szCs w:val="22"/>
          <w:shd w:val="clear" w:color="auto" w:fill="FFFFFF"/>
        </w:rPr>
        <w:t>t</w:t>
      </w:r>
      <w:r w:rsidRPr="006102C3">
        <w:rPr>
          <w:rFonts w:ascii="Arial" w:hAnsi="Arial" w:cs="Arial"/>
          <w:sz w:val="22"/>
          <w:szCs w:val="22"/>
          <w:shd w:val="clear" w:color="auto" w:fill="FFFFFF"/>
        </w:rPr>
        <w:t xml:space="preserve">hree </w:t>
      </w:r>
      <w:r w:rsidR="001B4F55" w:rsidRPr="006102C3">
        <w:rPr>
          <w:rFonts w:ascii="Arial" w:hAnsi="Arial" w:cs="Arial"/>
          <w:sz w:val="22"/>
          <w:szCs w:val="22"/>
          <w:shd w:val="clear" w:color="auto" w:fill="FFFFFF"/>
        </w:rPr>
        <w:t>lay persons</w:t>
      </w:r>
      <w:r w:rsidR="008214B9" w:rsidRPr="006102C3">
        <w:rPr>
          <w:rFonts w:ascii="Arial" w:hAnsi="Arial" w:cs="Arial"/>
          <w:sz w:val="22"/>
          <w:szCs w:val="22"/>
          <w:shd w:val="clear" w:color="auto" w:fill="FFFFFF"/>
        </w:rPr>
        <w:t>,</w:t>
      </w:r>
      <w:r w:rsidRPr="006102C3">
        <w:rPr>
          <w:rFonts w:ascii="Arial" w:hAnsi="Arial" w:cs="Arial"/>
          <w:sz w:val="22"/>
          <w:szCs w:val="22"/>
          <w:shd w:val="clear" w:color="auto" w:fill="FFFFFF"/>
        </w:rPr>
        <w:t xml:space="preserve"> two registrants of the same profession as the re</w:t>
      </w:r>
      <w:r w:rsidR="008214B9" w:rsidRPr="006102C3">
        <w:rPr>
          <w:rFonts w:ascii="Arial" w:hAnsi="Arial" w:cs="Arial"/>
          <w:sz w:val="22"/>
          <w:szCs w:val="22"/>
          <w:shd w:val="clear" w:color="auto" w:fill="FFFFFF"/>
        </w:rPr>
        <w:t>gistrant being complained about</w:t>
      </w:r>
      <w:r w:rsidRPr="006102C3">
        <w:rPr>
          <w:rFonts w:ascii="Arial" w:hAnsi="Arial" w:cs="Arial"/>
          <w:sz w:val="22"/>
          <w:szCs w:val="22"/>
          <w:shd w:val="clear" w:color="auto" w:fill="FFFFFF"/>
        </w:rPr>
        <w:t xml:space="preserve"> and two registrants from a different profession.</w:t>
      </w:r>
      <w:r w:rsidR="008214B9" w:rsidRPr="006102C3">
        <w:rPr>
          <w:rFonts w:ascii="Arial" w:hAnsi="Arial" w:cs="Arial"/>
          <w:sz w:val="22"/>
          <w:szCs w:val="22"/>
          <w:shd w:val="clear" w:color="auto" w:fill="FFFFFF"/>
        </w:rPr>
        <w:t xml:space="preserve"> Where the PPC is content that the complaint warrants further action</w:t>
      </w:r>
      <w:r w:rsidR="00284617" w:rsidRPr="006102C3">
        <w:rPr>
          <w:rFonts w:ascii="Arial" w:hAnsi="Arial" w:cs="Arial"/>
          <w:sz w:val="22"/>
          <w:szCs w:val="22"/>
          <w:shd w:val="clear" w:color="auto" w:fill="FFFFFF"/>
        </w:rPr>
        <w:t>, and mediation is unsuitable,</w:t>
      </w:r>
      <w:r w:rsidR="008214B9" w:rsidRPr="006102C3">
        <w:rPr>
          <w:rFonts w:ascii="Arial" w:hAnsi="Arial" w:cs="Arial"/>
          <w:sz w:val="22"/>
          <w:szCs w:val="22"/>
          <w:shd w:val="clear" w:color="auto" w:fill="FFFFFF"/>
        </w:rPr>
        <w:t xml:space="preserve"> it will be referred for </w:t>
      </w:r>
      <w:r w:rsidR="00284617" w:rsidRPr="006102C3">
        <w:rPr>
          <w:rFonts w:ascii="Arial" w:hAnsi="Arial" w:cs="Arial"/>
          <w:sz w:val="22"/>
          <w:szCs w:val="22"/>
          <w:shd w:val="clear" w:color="auto" w:fill="FFFFFF"/>
        </w:rPr>
        <w:t>a Committee of Inquiry (Professional Conduct Committee or Health Committee)</w:t>
      </w:r>
      <w:r w:rsidR="008214B9" w:rsidRPr="006102C3">
        <w:rPr>
          <w:rFonts w:ascii="Arial" w:hAnsi="Arial" w:cs="Arial"/>
          <w:sz w:val="22"/>
          <w:szCs w:val="22"/>
          <w:shd w:val="clear" w:color="auto" w:fill="FFFFFF"/>
        </w:rPr>
        <w:t>.</w:t>
      </w:r>
      <w:r w:rsidR="002F257D" w:rsidRPr="006102C3">
        <w:rPr>
          <w:rStyle w:val="FootnoteReference"/>
          <w:rFonts w:ascii="Arial" w:hAnsi="Arial" w:cs="Arial"/>
          <w:sz w:val="22"/>
          <w:szCs w:val="22"/>
          <w:shd w:val="clear" w:color="auto" w:fill="FFFFFF"/>
        </w:rPr>
        <w:footnoteReference w:id="54"/>
      </w:r>
    </w:p>
    <w:p w:rsidR="008214B9" w:rsidRPr="006102C3" w:rsidRDefault="008214B9" w:rsidP="006102C3">
      <w:pPr>
        <w:spacing w:line="360" w:lineRule="auto"/>
        <w:rPr>
          <w:rFonts w:ascii="Arial" w:hAnsi="Arial" w:cs="Arial"/>
          <w:i/>
          <w:sz w:val="22"/>
          <w:szCs w:val="22"/>
          <w:shd w:val="clear" w:color="auto" w:fill="FFFFFF"/>
        </w:rPr>
      </w:pPr>
    </w:p>
    <w:p w:rsidR="00284617" w:rsidRPr="006102C3" w:rsidRDefault="00284617" w:rsidP="006102C3">
      <w:pPr>
        <w:spacing w:line="360" w:lineRule="auto"/>
        <w:rPr>
          <w:rFonts w:ascii="Arial" w:hAnsi="Arial" w:cs="Arial"/>
          <w:i/>
          <w:shd w:val="clear" w:color="auto" w:fill="FFFFFF"/>
        </w:rPr>
      </w:pPr>
      <w:r w:rsidRPr="006102C3">
        <w:rPr>
          <w:rFonts w:ascii="Arial" w:hAnsi="Arial" w:cs="Arial"/>
          <w:i/>
          <w:shd w:val="clear" w:color="auto" w:fill="FFFFFF"/>
        </w:rPr>
        <w:t>Professional Conduct Committee</w:t>
      </w:r>
      <w:r w:rsidR="00E20BDA" w:rsidRPr="006102C3">
        <w:rPr>
          <w:rFonts w:ascii="Arial" w:hAnsi="Arial" w:cs="Arial"/>
          <w:i/>
          <w:shd w:val="clear" w:color="auto" w:fill="FFFFFF"/>
        </w:rPr>
        <w:t xml:space="preserve"> (PCC)</w:t>
      </w:r>
      <w:r w:rsidRPr="006102C3">
        <w:rPr>
          <w:rFonts w:ascii="Arial" w:hAnsi="Arial" w:cs="Arial"/>
          <w:i/>
          <w:shd w:val="clear" w:color="auto" w:fill="FFFFFF"/>
        </w:rPr>
        <w:t xml:space="preserve"> and Health Committee</w:t>
      </w:r>
    </w:p>
    <w:p w:rsidR="00284617" w:rsidRPr="006102C3" w:rsidRDefault="00284617" w:rsidP="006102C3">
      <w:pPr>
        <w:spacing w:line="360" w:lineRule="auto"/>
        <w:rPr>
          <w:rFonts w:ascii="Arial" w:hAnsi="Arial" w:cs="Arial"/>
          <w:i/>
          <w:sz w:val="22"/>
          <w:szCs w:val="22"/>
          <w:shd w:val="clear" w:color="auto" w:fill="FFFFFF"/>
        </w:rPr>
      </w:pPr>
    </w:p>
    <w:p w:rsidR="00E20BDA" w:rsidRPr="006102C3" w:rsidRDefault="00E20BDA" w:rsidP="006102C3">
      <w:pPr>
        <w:spacing w:line="360" w:lineRule="auto"/>
        <w:rPr>
          <w:rFonts w:ascii="Arial" w:hAnsi="Arial" w:cs="Arial"/>
          <w:sz w:val="22"/>
          <w:szCs w:val="22"/>
        </w:rPr>
      </w:pPr>
      <w:r w:rsidRPr="006102C3">
        <w:rPr>
          <w:rFonts w:ascii="Arial" w:hAnsi="Arial" w:cs="Arial"/>
          <w:sz w:val="22"/>
          <w:szCs w:val="22"/>
        </w:rPr>
        <w:t xml:space="preserve">The PCC is concerned with complaints regarding a registrant’s conduct or competence while the Health Committee decides if a registrant’s relevant medical disability is impacting his/her professional work. </w:t>
      </w:r>
    </w:p>
    <w:p w:rsidR="00E20BDA" w:rsidRPr="006102C3" w:rsidRDefault="00E20BDA" w:rsidP="006102C3">
      <w:pPr>
        <w:spacing w:line="360" w:lineRule="auto"/>
        <w:rPr>
          <w:rFonts w:ascii="Arial" w:hAnsi="Arial" w:cs="Arial"/>
          <w:sz w:val="22"/>
          <w:szCs w:val="22"/>
        </w:rPr>
      </w:pPr>
    </w:p>
    <w:p w:rsidR="00F57669" w:rsidRPr="006102C3" w:rsidRDefault="00E20BDA" w:rsidP="006102C3">
      <w:pPr>
        <w:spacing w:line="360" w:lineRule="auto"/>
        <w:rPr>
          <w:rFonts w:ascii="Arial" w:hAnsi="Arial" w:cs="Arial"/>
          <w:sz w:val="22"/>
          <w:szCs w:val="22"/>
        </w:rPr>
      </w:pPr>
      <w:r w:rsidRPr="006102C3">
        <w:rPr>
          <w:rFonts w:ascii="Arial" w:hAnsi="Arial" w:cs="Arial"/>
          <w:sz w:val="22"/>
          <w:szCs w:val="22"/>
        </w:rPr>
        <w:t xml:space="preserve">Both committees are composed of three people: one layperson, one registrant from the same profession as the registrant being complained about and one registrant from a different profession. A legal assessor is present at both committees while a </w:t>
      </w:r>
      <w:r w:rsidRPr="006102C3">
        <w:rPr>
          <w:rFonts w:ascii="Arial" w:hAnsi="Arial" w:cs="Arial"/>
          <w:sz w:val="22"/>
          <w:szCs w:val="22"/>
          <w:lang w:eastAsia="en-GB"/>
        </w:rPr>
        <w:t>registered medical practitioner</w:t>
      </w:r>
      <w:r w:rsidRPr="006102C3">
        <w:rPr>
          <w:rFonts w:ascii="Arial" w:hAnsi="Arial" w:cs="Arial"/>
          <w:sz w:val="22"/>
          <w:szCs w:val="22"/>
        </w:rPr>
        <w:t xml:space="preserve"> only attends the Health Committee. </w:t>
      </w:r>
      <w:r w:rsidR="00EE0026" w:rsidRPr="006102C3">
        <w:rPr>
          <w:rFonts w:ascii="Arial" w:hAnsi="Arial" w:cs="Arial"/>
          <w:sz w:val="22"/>
          <w:szCs w:val="22"/>
        </w:rPr>
        <w:t>These committees adjudge whether the case against the registrant has been pr</w:t>
      </w:r>
      <w:r w:rsidR="006B23A4" w:rsidRPr="006102C3">
        <w:rPr>
          <w:rFonts w:ascii="Arial" w:hAnsi="Arial" w:cs="Arial"/>
          <w:sz w:val="22"/>
          <w:szCs w:val="22"/>
        </w:rPr>
        <w:t>oven. S</w:t>
      </w:r>
      <w:r w:rsidR="00EE0026" w:rsidRPr="006102C3">
        <w:rPr>
          <w:rFonts w:ascii="Arial" w:hAnsi="Arial" w:cs="Arial"/>
          <w:sz w:val="22"/>
          <w:szCs w:val="22"/>
        </w:rPr>
        <w:t>anctions are</w:t>
      </w:r>
      <w:r w:rsidR="006B23A4" w:rsidRPr="006102C3">
        <w:rPr>
          <w:rFonts w:ascii="Arial" w:hAnsi="Arial" w:cs="Arial"/>
          <w:sz w:val="22"/>
          <w:szCs w:val="22"/>
        </w:rPr>
        <w:t xml:space="preserve"> decided upon by the CORU council and</w:t>
      </w:r>
      <w:r w:rsidR="00EE0026" w:rsidRPr="006102C3">
        <w:rPr>
          <w:rFonts w:ascii="Arial" w:hAnsi="Arial" w:cs="Arial"/>
          <w:sz w:val="22"/>
          <w:szCs w:val="22"/>
        </w:rPr>
        <w:t xml:space="preserve"> imposed by </w:t>
      </w:r>
      <w:r w:rsidR="006B23A4" w:rsidRPr="006102C3">
        <w:rPr>
          <w:rFonts w:ascii="Arial" w:hAnsi="Arial" w:cs="Arial"/>
          <w:sz w:val="22"/>
          <w:szCs w:val="22"/>
        </w:rPr>
        <w:t>the Registration Board.</w:t>
      </w:r>
      <w:r w:rsidR="002F257D" w:rsidRPr="006102C3">
        <w:rPr>
          <w:rStyle w:val="FootnoteReference"/>
          <w:rFonts w:ascii="Arial" w:hAnsi="Arial" w:cs="Arial"/>
          <w:sz w:val="22"/>
          <w:szCs w:val="22"/>
        </w:rPr>
        <w:footnoteReference w:id="55"/>
      </w:r>
    </w:p>
    <w:p w:rsidR="0020690D" w:rsidRPr="006102C3" w:rsidRDefault="0020690D" w:rsidP="006102C3">
      <w:pPr>
        <w:spacing w:line="360" w:lineRule="auto"/>
        <w:rPr>
          <w:rFonts w:ascii="Arial" w:hAnsi="Arial" w:cs="Arial"/>
          <w:i/>
        </w:rPr>
      </w:pPr>
    </w:p>
    <w:p w:rsidR="006102C3" w:rsidRDefault="00EE0026" w:rsidP="006102C3">
      <w:pPr>
        <w:spacing w:line="360" w:lineRule="auto"/>
        <w:rPr>
          <w:rFonts w:ascii="Arial" w:hAnsi="Arial" w:cs="Arial"/>
          <w:i/>
        </w:rPr>
      </w:pPr>
      <w:r w:rsidRPr="006102C3">
        <w:rPr>
          <w:rFonts w:ascii="Arial" w:hAnsi="Arial" w:cs="Arial"/>
          <w:i/>
        </w:rPr>
        <w:lastRenderedPageBreak/>
        <w:t>Appeals process</w:t>
      </w:r>
    </w:p>
    <w:p w:rsidR="004A3606" w:rsidRPr="006102C3" w:rsidRDefault="004A3606" w:rsidP="006102C3">
      <w:pPr>
        <w:spacing w:line="360" w:lineRule="auto"/>
        <w:rPr>
          <w:rFonts w:ascii="Arial" w:hAnsi="Arial" w:cs="Arial"/>
          <w:i/>
        </w:rPr>
      </w:pPr>
    </w:p>
    <w:p w:rsidR="00A9274D" w:rsidRPr="006102C3" w:rsidRDefault="002353B4" w:rsidP="006102C3">
      <w:pPr>
        <w:spacing w:line="360" w:lineRule="auto"/>
        <w:rPr>
          <w:rFonts w:ascii="Arial" w:hAnsi="Arial" w:cs="Arial"/>
          <w:sz w:val="22"/>
          <w:szCs w:val="22"/>
        </w:rPr>
      </w:pPr>
      <w:r w:rsidRPr="006102C3">
        <w:rPr>
          <w:rFonts w:ascii="Arial" w:hAnsi="Arial" w:cs="Arial"/>
          <w:sz w:val="22"/>
          <w:szCs w:val="22"/>
        </w:rPr>
        <w:t>CORU does not facilitate an appeals process but a registrant can make an appeal to the High Court</w:t>
      </w:r>
      <w:r w:rsidR="00810B1D" w:rsidRPr="006102C3">
        <w:rPr>
          <w:rFonts w:ascii="Arial" w:hAnsi="Arial" w:cs="Arial"/>
          <w:sz w:val="22"/>
          <w:szCs w:val="22"/>
        </w:rPr>
        <w:t xml:space="preserve"> in the Republic of Ireland’s Courts Service</w:t>
      </w:r>
      <w:r w:rsidRPr="006102C3">
        <w:rPr>
          <w:rFonts w:ascii="Arial" w:hAnsi="Arial" w:cs="Arial"/>
          <w:sz w:val="22"/>
          <w:szCs w:val="22"/>
        </w:rPr>
        <w:t xml:space="preserve">. </w:t>
      </w:r>
    </w:p>
    <w:p w:rsidR="002F257D" w:rsidRPr="006102C3" w:rsidRDefault="001D1068" w:rsidP="004A3606">
      <w:pPr>
        <w:pStyle w:val="H1SectionHead"/>
        <w:spacing w:line="360" w:lineRule="auto"/>
        <w:rPr>
          <w:rFonts w:cs="Arial"/>
          <w:color w:val="auto"/>
        </w:rPr>
      </w:pPr>
      <w:r w:rsidRPr="006102C3">
        <w:rPr>
          <w:rFonts w:cs="Arial"/>
          <w:color w:val="auto"/>
        </w:rPr>
        <w:t>5 Comparison with provisions proposed in the Lega</w:t>
      </w:r>
      <w:r w:rsidR="002F257D" w:rsidRPr="006102C3">
        <w:rPr>
          <w:rFonts w:cs="Arial"/>
          <w:color w:val="auto"/>
        </w:rPr>
        <w:t>l Complaints and Regulation Bill</w:t>
      </w:r>
    </w:p>
    <w:p w:rsidR="00344555" w:rsidRDefault="00DA78BC" w:rsidP="006102C3">
      <w:pPr>
        <w:pStyle w:val="B1BodyText"/>
        <w:spacing w:line="360" w:lineRule="auto"/>
        <w:ind w:left="0"/>
        <w:rPr>
          <w:rFonts w:cs="Arial"/>
          <w:color w:val="auto"/>
        </w:rPr>
      </w:pPr>
      <w:r w:rsidRPr="006102C3">
        <w:rPr>
          <w:rFonts w:cs="Arial"/>
          <w:color w:val="auto"/>
        </w:rPr>
        <w:t>Th</w:t>
      </w:r>
      <w:r w:rsidR="00D16B2B" w:rsidRPr="006102C3">
        <w:rPr>
          <w:rFonts w:cs="Arial"/>
          <w:color w:val="auto"/>
        </w:rPr>
        <w:t xml:space="preserve">is </w:t>
      </w:r>
      <w:r w:rsidRPr="006102C3">
        <w:rPr>
          <w:rFonts w:cs="Arial"/>
          <w:color w:val="auto"/>
        </w:rPr>
        <w:t>review of the</w:t>
      </w:r>
      <w:r w:rsidR="004433B3" w:rsidRPr="006102C3">
        <w:rPr>
          <w:rFonts w:cs="Arial"/>
          <w:color w:val="auto"/>
        </w:rPr>
        <w:t xml:space="preserve"> role of lay</w:t>
      </w:r>
      <w:r w:rsidR="001B4F55" w:rsidRPr="006102C3">
        <w:rPr>
          <w:rFonts w:cs="Arial"/>
          <w:color w:val="auto"/>
        </w:rPr>
        <w:t xml:space="preserve"> </w:t>
      </w:r>
      <w:r w:rsidR="000B7564">
        <w:rPr>
          <w:rFonts w:cs="Arial"/>
          <w:color w:val="auto"/>
        </w:rPr>
        <w:t>persons and professionals</w:t>
      </w:r>
      <w:r w:rsidR="004433B3" w:rsidRPr="006102C3">
        <w:rPr>
          <w:rFonts w:cs="Arial"/>
          <w:color w:val="auto"/>
        </w:rPr>
        <w:t xml:space="preserve"> within the</w:t>
      </w:r>
      <w:r w:rsidRPr="006102C3">
        <w:rPr>
          <w:rFonts w:cs="Arial"/>
          <w:color w:val="auto"/>
        </w:rPr>
        <w:t xml:space="preserve"> complaints handling and disciplinary process of the accountancy, medicine and social care professions in Northern Ireland, Great Britain and the Republic of Ireland </w:t>
      </w:r>
      <w:r w:rsidR="00D16B2B" w:rsidRPr="006102C3">
        <w:rPr>
          <w:rFonts w:cs="Arial"/>
          <w:color w:val="auto"/>
        </w:rPr>
        <w:t xml:space="preserve">has provided several points of comparison </w:t>
      </w:r>
      <w:r w:rsidR="00A546BC" w:rsidRPr="006102C3">
        <w:rPr>
          <w:rFonts w:cs="Arial"/>
          <w:color w:val="auto"/>
        </w:rPr>
        <w:t>with</w:t>
      </w:r>
      <w:r w:rsidR="00FE4E03" w:rsidRPr="006102C3">
        <w:rPr>
          <w:rFonts w:cs="Arial"/>
          <w:color w:val="auto"/>
        </w:rPr>
        <w:t xml:space="preserve"> complaints procedures for both barr</w:t>
      </w:r>
      <w:r w:rsidR="00046970" w:rsidRPr="006102C3">
        <w:rPr>
          <w:rFonts w:cs="Arial"/>
          <w:color w:val="auto"/>
        </w:rPr>
        <w:t xml:space="preserve">isters and solicitors </w:t>
      </w:r>
      <w:r w:rsidR="00ED1F2E" w:rsidRPr="006102C3">
        <w:rPr>
          <w:rFonts w:cs="Arial"/>
          <w:color w:val="auto"/>
        </w:rPr>
        <w:t xml:space="preserve">in </w:t>
      </w:r>
      <w:r w:rsidR="00A546BC" w:rsidRPr="006102C3">
        <w:rPr>
          <w:rFonts w:cs="Arial"/>
          <w:color w:val="auto"/>
        </w:rPr>
        <w:t xml:space="preserve">the </w:t>
      </w:r>
      <w:r w:rsidR="00994C97" w:rsidRPr="006102C3">
        <w:rPr>
          <w:rFonts w:cs="Arial"/>
          <w:color w:val="auto"/>
        </w:rPr>
        <w:t>Legal Complaints and Regulation Bill</w:t>
      </w:r>
      <w:r w:rsidR="00ED1F2E" w:rsidRPr="006102C3">
        <w:rPr>
          <w:rFonts w:cs="Arial"/>
          <w:color w:val="auto"/>
        </w:rPr>
        <w:t xml:space="preserve"> (the Bill)</w:t>
      </w:r>
      <w:r w:rsidR="00994C97" w:rsidRPr="006102C3">
        <w:rPr>
          <w:rFonts w:cs="Arial"/>
          <w:color w:val="auto"/>
        </w:rPr>
        <w:t>.</w:t>
      </w:r>
      <w:r w:rsidR="006072A0" w:rsidRPr="006102C3">
        <w:rPr>
          <w:rStyle w:val="FootnoteReference"/>
          <w:rFonts w:cs="Arial"/>
          <w:color w:val="auto"/>
        </w:rPr>
        <w:footnoteReference w:id="56"/>
      </w:r>
      <w:r w:rsidR="00177DA8">
        <w:rPr>
          <w:rFonts w:cs="Arial"/>
          <w:color w:val="auto"/>
        </w:rPr>
        <w:t xml:space="preserve">  </w:t>
      </w:r>
      <w:r w:rsidR="00177DA8" w:rsidRPr="00177DA8">
        <w:rPr>
          <w:rFonts w:cs="Arial"/>
          <w:color w:val="auto"/>
        </w:rPr>
        <w:t xml:space="preserve">Given time constraints this report has looked </w:t>
      </w:r>
      <w:r w:rsidR="00177DA8">
        <w:rPr>
          <w:rFonts w:cs="Arial"/>
          <w:color w:val="auto"/>
        </w:rPr>
        <w:t>at a selected number of bodies within the accountancy, medi</w:t>
      </w:r>
      <w:r w:rsidR="00344555">
        <w:rPr>
          <w:rFonts w:cs="Arial"/>
          <w:color w:val="auto"/>
        </w:rPr>
        <w:t>cal and social care professions</w:t>
      </w:r>
      <w:r w:rsidR="00344555" w:rsidRPr="00344555">
        <w:rPr>
          <w:rFonts w:cs="Arial"/>
          <w:color w:val="auto"/>
        </w:rPr>
        <w:t xml:space="preserve"> i</w:t>
      </w:r>
      <w:r w:rsidR="009D6B98" w:rsidRPr="00344555">
        <w:rPr>
          <w:rFonts w:cs="Arial"/>
          <w:color w:val="auto"/>
        </w:rPr>
        <w:t>n relation to the role of lay persons and professionals on disciplinary committees</w:t>
      </w:r>
      <w:r w:rsidR="00344555" w:rsidRPr="00344555">
        <w:rPr>
          <w:rFonts w:cs="Arial"/>
          <w:color w:val="auto"/>
        </w:rPr>
        <w:t xml:space="preserve">. </w:t>
      </w:r>
    </w:p>
    <w:p w:rsidR="00344555" w:rsidRPr="00B67AF6" w:rsidRDefault="00344555" w:rsidP="006102C3">
      <w:pPr>
        <w:pStyle w:val="B1BodyText"/>
        <w:spacing w:line="360" w:lineRule="auto"/>
        <w:ind w:left="0"/>
        <w:rPr>
          <w:rFonts w:cs="Arial"/>
          <w:b/>
          <w:color w:val="auto"/>
        </w:rPr>
      </w:pPr>
      <w:r w:rsidRPr="00B67AF6">
        <w:rPr>
          <w:rFonts w:cs="Arial"/>
          <w:b/>
          <w:color w:val="auto"/>
        </w:rPr>
        <w:t xml:space="preserve">Several key take-away points for readers to consider include: </w:t>
      </w:r>
    </w:p>
    <w:p w:rsidR="004941E5" w:rsidRPr="004941E5" w:rsidRDefault="004941E5" w:rsidP="004941E5">
      <w:pPr>
        <w:pStyle w:val="B1BodyText"/>
        <w:numPr>
          <w:ilvl w:val="0"/>
          <w:numId w:val="20"/>
        </w:numPr>
        <w:spacing w:line="360" w:lineRule="auto"/>
        <w:rPr>
          <w:rFonts w:cs="Arial"/>
        </w:rPr>
      </w:pPr>
      <w:r>
        <w:rPr>
          <w:rFonts w:cs="Arial"/>
          <w:color w:val="auto"/>
        </w:rPr>
        <w:t xml:space="preserve">Overall, this report concludes that </w:t>
      </w:r>
      <w:r>
        <w:rPr>
          <w:rFonts w:cs="Arial"/>
        </w:rPr>
        <w:t>n</w:t>
      </w:r>
      <w:r w:rsidRPr="00177DA8">
        <w:rPr>
          <w:rFonts w:cs="Arial"/>
        </w:rPr>
        <w:t>o clear relationship</w:t>
      </w:r>
      <w:r>
        <w:rPr>
          <w:rFonts w:cs="Arial"/>
        </w:rPr>
        <w:t xml:space="preserve"> has been uncovered </w:t>
      </w:r>
      <w:r w:rsidRPr="00177DA8">
        <w:rPr>
          <w:rFonts w:cs="Arial"/>
        </w:rPr>
        <w:t>between</w:t>
      </w:r>
      <w:r>
        <w:rPr>
          <w:rFonts w:cs="Arial"/>
        </w:rPr>
        <w:t xml:space="preserve"> the</w:t>
      </w:r>
      <w:r w:rsidRPr="00177DA8">
        <w:rPr>
          <w:rFonts w:cs="Arial"/>
        </w:rPr>
        <w:t xml:space="preserve"> stage in</w:t>
      </w:r>
      <w:r>
        <w:rPr>
          <w:rFonts w:cs="Arial"/>
        </w:rPr>
        <w:t xml:space="preserve"> the disciplinary </w:t>
      </w:r>
      <w:r w:rsidRPr="00177DA8">
        <w:rPr>
          <w:rFonts w:cs="Arial"/>
        </w:rPr>
        <w:t>process and</w:t>
      </w:r>
      <w:r>
        <w:rPr>
          <w:rFonts w:cs="Arial"/>
        </w:rPr>
        <w:t xml:space="preserve"> committee/</w:t>
      </w:r>
      <w:r w:rsidRPr="00177DA8">
        <w:rPr>
          <w:rFonts w:cs="Arial"/>
        </w:rPr>
        <w:t>panel</w:t>
      </w:r>
      <w:r>
        <w:rPr>
          <w:rFonts w:cs="Arial"/>
        </w:rPr>
        <w:t xml:space="preserve"> balance</w:t>
      </w:r>
      <w:r w:rsidRPr="00177DA8">
        <w:rPr>
          <w:rFonts w:cs="Arial"/>
        </w:rPr>
        <w:t xml:space="preserve"> in terms of lay </w:t>
      </w:r>
      <w:r w:rsidR="000B7564">
        <w:rPr>
          <w:rFonts w:cs="Arial"/>
        </w:rPr>
        <w:t>persons</w:t>
      </w:r>
      <w:r w:rsidRPr="00177DA8">
        <w:rPr>
          <w:rFonts w:cs="Arial"/>
        </w:rPr>
        <w:t xml:space="preserve"> and professional membership. </w:t>
      </w:r>
    </w:p>
    <w:p w:rsidR="004941E5" w:rsidRPr="004941E5" w:rsidRDefault="004941E5" w:rsidP="000B7564">
      <w:pPr>
        <w:pStyle w:val="B1BodyText"/>
        <w:spacing w:line="360" w:lineRule="auto"/>
        <w:ind w:left="720"/>
        <w:rPr>
          <w:rFonts w:cs="Arial"/>
        </w:rPr>
      </w:pPr>
      <w:r>
        <w:rPr>
          <w:rFonts w:cs="Arial"/>
        </w:rPr>
        <w:t xml:space="preserve">However, it is worth noting a study conducted in 2013 by the Royal College of Veterinary Surgeons, which scrutinised </w:t>
      </w:r>
      <w:r w:rsidRPr="00344555">
        <w:rPr>
          <w:rFonts w:cs="Arial"/>
        </w:rPr>
        <w:t xml:space="preserve">the UK’s nine health and care professional regulators (covering thirty-one regulated </w:t>
      </w:r>
      <w:r>
        <w:rPr>
          <w:rFonts w:cs="Arial"/>
        </w:rPr>
        <w:t xml:space="preserve">professions), </w:t>
      </w:r>
      <w:r w:rsidRPr="00344555">
        <w:rPr>
          <w:rFonts w:cs="Arial"/>
        </w:rPr>
        <w:t xml:space="preserve">two of the eight legal services regulators </w:t>
      </w:r>
      <w:r>
        <w:rPr>
          <w:rFonts w:cs="Arial"/>
        </w:rPr>
        <w:t xml:space="preserve">and </w:t>
      </w:r>
      <w:r w:rsidRPr="00344555">
        <w:rPr>
          <w:rFonts w:cs="Arial"/>
        </w:rPr>
        <w:t>four international regu</w:t>
      </w:r>
      <w:r>
        <w:rPr>
          <w:rFonts w:cs="Arial"/>
        </w:rPr>
        <w:t xml:space="preserve">lators of veterinary surgeons. This paper surmised that </w:t>
      </w:r>
      <w:r w:rsidRPr="00344555">
        <w:rPr>
          <w:rFonts w:cs="Arial"/>
        </w:rPr>
        <w:t xml:space="preserve">regulators have </w:t>
      </w:r>
      <w:r>
        <w:rPr>
          <w:rFonts w:cs="Arial"/>
        </w:rPr>
        <w:t>‘</w:t>
      </w:r>
      <w:r w:rsidRPr="00344555">
        <w:rPr>
          <w:rFonts w:cs="Arial"/>
        </w:rPr>
        <w:t>accepted and even embraced sharing responsibility for regulation between professionals and the public, with parity of lay people and registrants on governing boards.</w:t>
      </w:r>
      <w:r>
        <w:rPr>
          <w:rFonts w:cs="Arial"/>
        </w:rPr>
        <w:t>’</w:t>
      </w:r>
      <w:r>
        <w:rPr>
          <w:rStyle w:val="FootnoteReference"/>
          <w:rFonts w:cs="Arial"/>
        </w:rPr>
        <w:footnoteReference w:id="57"/>
      </w:r>
      <w:r>
        <w:rPr>
          <w:rFonts w:cs="Arial"/>
        </w:rPr>
        <w:t xml:space="preserve"> This finding is significant given that the authors’ main focus was determining best practice among regulators in the UK and beyond. </w:t>
      </w:r>
      <w:r w:rsidRPr="00344555">
        <w:rPr>
          <w:rFonts w:cs="Arial"/>
        </w:rPr>
        <w:t xml:space="preserve">  </w:t>
      </w:r>
    </w:p>
    <w:p w:rsidR="009D6B98" w:rsidRDefault="00DF5811" w:rsidP="009D6B98">
      <w:pPr>
        <w:pStyle w:val="B1BodyText"/>
        <w:numPr>
          <w:ilvl w:val="0"/>
          <w:numId w:val="20"/>
        </w:numPr>
        <w:spacing w:line="360" w:lineRule="auto"/>
        <w:rPr>
          <w:rFonts w:cs="Arial"/>
          <w:color w:val="auto"/>
        </w:rPr>
      </w:pPr>
      <w:r w:rsidRPr="006102C3">
        <w:rPr>
          <w:rFonts w:cs="Arial"/>
          <w:color w:val="auto"/>
        </w:rPr>
        <w:t xml:space="preserve">The Bill’s provision, in relation to the Bar Complaints Committee and the Solicitor Complaints Committee, for lay persons to comprise a majority of committee members and for the chair to be a lay person matches a growing trend within regulatory agencies in other professions. For example, the membership of CARB’s and the Care Council’s (for Wales) complaints committees have a majority of lay persons. Further, </w:t>
      </w:r>
      <w:r w:rsidRPr="006102C3">
        <w:rPr>
          <w:rFonts w:cs="Arial"/>
          <w:color w:val="auto"/>
        </w:rPr>
        <w:lastRenderedPageBreak/>
        <w:t xml:space="preserve">the ICAEW’s disciplinary committee has introduced a requirement whereby its disciplinary committee chair must be a layperson starting in 2016. </w:t>
      </w:r>
    </w:p>
    <w:p w:rsidR="009D6B98" w:rsidRDefault="00DF5811" w:rsidP="000B7564">
      <w:pPr>
        <w:pStyle w:val="B1BodyText"/>
        <w:spacing w:line="360" w:lineRule="auto"/>
        <w:ind w:left="720"/>
        <w:rPr>
          <w:rFonts w:cs="Arial"/>
          <w:color w:val="auto"/>
        </w:rPr>
      </w:pPr>
      <w:r w:rsidRPr="006102C3">
        <w:rPr>
          <w:rFonts w:cs="Arial"/>
          <w:color w:val="auto"/>
        </w:rPr>
        <w:t xml:space="preserve">However, several agencies scrutinised in this paper such as ICAS, the GMC and the NISCC maintain parity between the numbers of lay persons and professionals on committee panels and in recruitment pools. </w:t>
      </w:r>
    </w:p>
    <w:p w:rsidR="00177DA8" w:rsidRDefault="00296345" w:rsidP="00177DA8">
      <w:pPr>
        <w:pStyle w:val="B1BodyText"/>
        <w:numPr>
          <w:ilvl w:val="0"/>
          <w:numId w:val="20"/>
        </w:numPr>
        <w:spacing w:line="360" w:lineRule="auto"/>
        <w:rPr>
          <w:rFonts w:cs="Arial"/>
          <w:color w:val="auto"/>
        </w:rPr>
      </w:pPr>
      <w:r>
        <w:rPr>
          <w:rFonts w:cs="Arial"/>
          <w:color w:val="auto"/>
        </w:rPr>
        <w:t>The Medical Council in the Republic of Ireland is an interesting case as its PPC (16 seats) has an overwhelming majority of medical professional members (12) compar</w:t>
      </w:r>
      <w:r w:rsidR="000B7564">
        <w:rPr>
          <w:rFonts w:cs="Arial"/>
          <w:color w:val="auto"/>
        </w:rPr>
        <w:t>ed to the quantity of lay persons</w:t>
      </w:r>
      <w:r>
        <w:rPr>
          <w:rFonts w:cs="Arial"/>
          <w:color w:val="auto"/>
        </w:rPr>
        <w:t xml:space="preserve"> (4). However, at the Fitness to Practice Committee stage there are two lay p</w:t>
      </w:r>
      <w:r w:rsidR="000B7564">
        <w:rPr>
          <w:rFonts w:cs="Arial"/>
          <w:color w:val="auto"/>
        </w:rPr>
        <w:t>ersons</w:t>
      </w:r>
      <w:r>
        <w:rPr>
          <w:rFonts w:cs="Arial"/>
          <w:color w:val="auto"/>
        </w:rPr>
        <w:t xml:space="preserve"> and </w:t>
      </w:r>
      <w:r w:rsidR="00D75E06">
        <w:rPr>
          <w:rFonts w:cs="Arial"/>
          <w:color w:val="auto"/>
        </w:rPr>
        <w:t xml:space="preserve">one medical professional on the panel. </w:t>
      </w:r>
      <w:r>
        <w:rPr>
          <w:rFonts w:cs="Arial"/>
          <w:color w:val="auto"/>
        </w:rPr>
        <w:t xml:space="preserve"> </w:t>
      </w:r>
      <w:r w:rsidR="00DF5811" w:rsidRPr="006102C3">
        <w:rPr>
          <w:rFonts w:cs="Arial"/>
          <w:color w:val="auto"/>
        </w:rPr>
        <w:t>Moreover, the common composition of disciplinary and conduct panels, as exemplified by the GMC and HCPC</w:t>
      </w:r>
      <w:r w:rsidR="000B7564">
        <w:rPr>
          <w:rFonts w:cs="Arial"/>
          <w:color w:val="auto"/>
        </w:rPr>
        <w:t>,</w:t>
      </w:r>
      <w:r w:rsidR="00DF5811" w:rsidRPr="006102C3">
        <w:rPr>
          <w:rFonts w:cs="Arial"/>
          <w:color w:val="auto"/>
        </w:rPr>
        <w:t xml:space="preserve"> is one professional and one layperson panellist in addition to a chair.    </w:t>
      </w:r>
    </w:p>
    <w:p w:rsidR="00F81E35" w:rsidRDefault="00177DA8" w:rsidP="00F81E35">
      <w:pPr>
        <w:pStyle w:val="ListParagraph"/>
        <w:numPr>
          <w:ilvl w:val="0"/>
          <w:numId w:val="20"/>
        </w:numPr>
        <w:autoSpaceDE w:val="0"/>
        <w:autoSpaceDN w:val="0"/>
        <w:adjustRightInd w:val="0"/>
        <w:spacing w:line="360" w:lineRule="auto"/>
        <w:rPr>
          <w:rFonts w:ascii="Arial" w:hAnsi="Arial" w:cs="Arial"/>
        </w:rPr>
      </w:pPr>
      <w:r w:rsidRPr="00177DA8">
        <w:rPr>
          <w:rFonts w:ascii="Arial" w:hAnsi="Arial" w:cs="Arial"/>
        </w:rPr>
        <w:t>The timescale of the term of office for members of both committees (‘not… more than 5 years at a time’) is similar to those specified by other regulatory agencies including the NISCC (4 years) and the SSSC. The SSSC case is more complex as its conduct rules state that ‘</w:t>
      </w:r>
      <w:r w:rsidRPr="00177DA8">
        <w:rPr>
          <w:rFonts w:ascii="Arial" w:hAnsi="Arial" w:cs="Arial"/>
          <w:lang w:eastAsia="en-GB"/>
        </w:rPr>
        <w:t>members of the Committee shall be appointed for a period not exceeding 3 years and shall be eligible for re-appointment for further periods not exceeding 4 years in total.’</w:t>
      </w:r>
      <w:r w:rsidRPr="006102C3">
        <w:rPr>
          <w:rStyle w:val="FootnoteReference"/>
          <w:rFonts w:ascii="Arial" w:hAnsi="Arial" w:cs="Arial"/>
          <w:lang w:eastAsia="en-GB"/>
        </w:rPr>
        <w:footnoteReference w:id="58"/>
      </w:r>
      <w:r w:rsidRPr="00177DA8">
        <w:rPr>
          <w:rFonts w:ascii="Arial" w:hAnsi="Arial" w:cs="Arial"/>
          <w:sz w:val="23"/>
          <w:szCs w:val="23"/>
          <w:lang w:eastAsia="en-GB"/>
        </w:rPr>
        <w:t xml:space="preserve"> CARB does not have a fixed term limit although one-third of its board members retire at each Annual Appointing Meeting. A term limit for panellists on the MPTS is not mentioned in its core founding legislation, </w:t>
      </w:r>
      <w:r w:rsidRPr="00177DA8">
        <w:rPr>
          <w:rFonts w:ascii="Arial" w:hAnsi="Arial" w:cs="Arial"/>
          <w:bdr w:val="none" w:sz="0" w:space="0" w:color="auto" w:frame="1"/>
        </w:rPr>
        <w:t>General Medical Council (Constitution of Panels and Investigation Committee) Rules Order of Council 2004</w:t>
      </w:r>
      <w:r w:rsidRPr="00177DA8">
        <w:rPr>
          <w:rFonts w:ascii="Arial" w:hAnsi="Arial" w:cs="Arial"/>
        </w:rPr>
        <w:t>.</w:t>
      </w:r>
      <w:r w:rsidRPr="006102C3">
        <w:rPr>
          <w:rStyle w:val="FootnoteReference"/>
          <w:rFonts w:ascii="Arial" w:hAnsi="Arial" w:cs="Arial"/>
        </w:rPr>
        <w:footnoteReference w:id="59"/>
      </w:r>
      <w:r w:rsidRPr="00177DA8">
        <w:rPr>
          <w:rFonts w:ascii="Arial" w:hAnsi="Arial" w:cs="Arial"/>
        </w:rPr>
        <w:t xml:space="preserve"> </w:t>
      </w:r>
    </w:p>
    <w:p w:rsidR="00177DA8" w:rsidRDefault="000B7564" w:rsidP="00F81E35">
      <w:pPr>
        <w:pStyle w:val="ListParagraph"/>
        <w:numPr>
          <w:ilvl w:val="0"/>
          <w:numId w:val="20"/>
        </w:numPr>
        <w:autoSpaceDE w:val="0"/>
        <w:autoSpaceDN w:val="0"/>
        <w:adjustRightInd w:val="0"/>
        <w:spacing w:line="360" w:lineRule="auto"/>
        <w:rPr>
          <w:rFonts w:ascii="Arial" w:hAnsi="Arial" w:cs="Arial"/>
        </w:rPr>
      </w:pPr>
      <w:r>
        <w:rPr>
          <w:rFonts w:ascii="Arial" w:hAnsi="Arial" w:cs="Arial"/>
        </w:rPr>
        <w:t>T</w:t>
      </w:r>
      <w:r w:rsidR="00177DA8" w:rsidRPr="00F81E35">
        <w:rPr>
          <w:rFonts w:ascii="Arial" w:hAnsi="Arial" w:cs="Arial"/>
        </w:rPr>
        <w:t>his paper demonstrates that the role of lay persons/regulator employees in complaints procedures is not discernible in committees solely. It is also noticeable in other areas of the process including the case holder/case examiner/investigator stage (see especially the social care regulators). For example, CARB’s Head of Professional Conduct is currently a barrister who ‘retains overall responsibility for the investigation’ and determines whether or not the respondent has a case to answer.</w:t>
      </w:r>
      <w:r w:rsidR="00177DA8" w:rsidRPr="006102C3">
        <w:rPr>
          <w:rStyle w:val="FootnoteReference"/>
          <w:rFonts w:ascii="Arial" w:hAnsi="Arial" w:cs="Arial"/>
        </w:rPr>
        <w:footnoteReference w:id="60"/>
      </w:r>
    </w:p>
    <w:p w:rsidR="00F81E35" w:rsidRPr="00F81E35" w:rsidRDefault="00F81E35" w:rsidP="00F81E35">
      <w:pPr>
        <w:pStyle w:val="ListParagraph"/>
        <w:autoSpaceDE w:val="0"/>
        <w:autoSpaceDN w:val="0"/>
        <w:adjustRightInd w:val="0"/>
        <w:spacing w:line="360" w:lineRule="auto"/>
        <w:rPr>
          <w:rFonts w:ascii="Arial" w:hAnsi="Arial" w:cs="Arial"/>
        </w:rPr>
      </w:pPr>
    </w:p>
    <w:p w:rsidR="00F81E35" w:rsidRPr="00F81E35" w:rsidRDefault="009D6B98" w:rsidP="009D6B98">
      <w:pPr>
        <w:pStyle w:val="B1BodyText"/>
        <w:spacing w:line="360" w:lineRule="auto"/>
        <w:ind w:left="0"/>
        <w:rPr>
          <w:rFonts w:cs="Arial"/>
          <w:b/>
          <w:color w:val="auto"/>
        </w:rPr>
      </w:pPr>
      <w:r w:rsidRPr="00177DA8">
        <w:rPr>
          <w:rFonts w:cs="Arial"/>
          <w:b/>
          <w:color w:val="auto"/>
        </w:rPr>
        <w:lastRenderedPageBreak/>
        <w:t xml:space="preserve">Points not relating to the role of lay persons and professionals in conduct and disciplinary committees but important observations made by the author are included here:   </w:t>
      </w:r>
    </w:p>
    <w:p w:rsidR="00F81E35" w:rsidRPr="00F81E35" w:rsidRDefault="00F81E35" w:rsidP="00F81E35">
      <w:pPr>
        <w:pStyle w:val="B1BodyText"/>
        <w:spacing w:line="360" w:lineRule="auto"/>
        <w:ind w:left="0"/>
        <w:rPr>
          <w:rFonts w:cs="Arial"/>
          <w:color w:val="auto"/>
        </w:rPr>
      </w:pPr>
      <w:r w:rsidRPr="00F81E35">
        <w:rPr>
          <w:rFonts w:cs="Arial"/>
          <w:color w:val="auto"/>
        </w:rPr>
        <w:t xml:space="preserve">The Bill does not make provision for the position of a ‘deputy chairperson’ or ‘acting chairperson’ where the chairperson is unfit to participate in proceedings. Regulatory agencies analysed in this paper, mostly in the accountancy profession, provided for this role within their disciplinary regulations. </w:t>
      </w:r>
    </w:p>
    <w:p w:rsidR="00F81E35" w:rsidRDefault="00F81E35" w:rsidP="009D6B98">
      <w:pPr>
        <w:pStyle w:val="B1BodyText"/>
        <w:spacing w:line="360" w:lineRule="auto"/>
        <w:ind w:left="0"/>
        <w:rPr>
          <w:rFonts w:cs="Arial"/>
          <w:color w:val="auto"/>
        </w:rPr>
      </w:pPr>
      <w:r w:rsidRPr="006102C3">
        <w:rPr>
          <w:rFonts w:cs="Arial"/>
          <w:color w:val="auto"/>
        </w:rPr>
        <w:t xml:space="preserve">Both the SSSC’s and CORU’s complaints procedures permit one ‘due regard’ representative to sit on their respective conduct committees. </w:t>
      </w:r>
      <w:r>
        <w:rPr>
          <w:rFonts w:cs="Arial"/>
          <w:color w:val="auto"/>
        </w:rPr>
        <w:t xml:space="preserve">It may be worth pondering whether a ‘due regard’ position should be added to the membership of the Bar Complaints Committee and the Solicitor Complaints Committee. </w:t>
      </w:r>
      <w:r w:rsidR="002413A3">
        <w:rPr>
          <w:rFonts w:cs="Arial"/>
          <w:color w:val="auto"/>
        </w:rPr>
        <w:t xml:space="preserve">Similarly, it should be considered whether a lay person may be named a ‘Public Interest Member’, a practice that is followed by ICAS.  </w:t>
      </w:r>
    </w:p>
    <w:p w:rsidR="004941E5" w:rsidRPr="004941E5" w:rsidRDefault="004941E5" w:rsidP="009D6B98">
      <w:pPr>
        <w:pStyle w:val="B1BodyText"/>
        <w:spacing w:line="360" w:lineRule="auto"/>
        <w:ind w:left="0"/>
        <w:rPr>
          <w:rFonts w:cs="Arial"/>
          <w:b/>
          <w:color w:val="auto"/>
        </w:rPr>
      </w:pPr>
      <w:r w:rsidRPr="006102C3">
        <w:rPr>
          <w:rFonts w:cs="Arial"/>
          <w:color w:val="auto"/>
        </w:rPr>
        <w:t xml:space="preserve">The Bill compels </w:t>
      </w:r>
      <w:r>
        <w:rPr>
          <w:rFonts w:cs="Arial"/>
          <w:color w:val="auto"/>
        </w:rPr>
        <w:t>the</w:t>
      </w:r>
      <w:r w:rsidR="00B96B85">
        <w:rPr>
          <w:rFonts w:cs="Arial"/>
          <w:color w:val="auto"/>
        </w:rPr>
        <w:t xml:space="preserve"> Benchers of the Honourable Society of the Inn of Court and the Law Society </w:t>
      </w:r>
      <w:r w:rsidRPr="006102C3">
        <w:rPr>
          <w:rFonts w:cs="Arial"/>
          <w:color w:val="auto"/>
        </w:rPr>
        <w:t>to consult initially with</w:t>
      </w:r>
      <w:r w:rsidR="000B7564">
        <w:rPr>
          <w:rFonts w:cs="Arial"/>
          <w:color w:val="auto"/>
        </w:rPr>
        <w:t xml:space="preserve"> the</w:t>
      </w:r>
      <w:r w:rsidRPr="006102C3">
        <w:rPr>
          <w:rFonts w:cs="Arial"/>
          <w:color w:val="auto"/>
        </w:rPr>
        <w:t xml:space="preserve"> Legal Services Oversight Commissioner (LSOC)</w:t>
      </w:r>
      <w:r w:rsidR="000B7564">
        <w:rPr>
          <w:rFonts w:cs="Arial"/>
          <w:color w:val="auto"/>
        </w:rPr>
        <w:t xml:space="preserve"> regarding the manner of appointments to the Bar Complaints Committee and the Solicitors Complaints Committee</w:t>
      </w:r>
      <w:r w:rsidRPr="006102C3">
        <w:rPr>
          <w:rFonts w:cs="Arial"/>
          <w:color w:val="auto"/>
        </w:rPr>
        <w:t xml:space="preserve">. Regulatory agencies analysed in this </w:t>
      </w:r>
      <w:r w:rsidR="000B7564">
        <w:rPr>
          <w:rFonts w:cs="Arial"/>
          <w:color w:val="auto"/>
        </w:rPr>
        <w:t xml:space="preserve">study </w:t>
      </w:r>
      <w:r w:rsidRPr="006102C3">
        <w:rPr>
          <w:rFonts w:cs="Arial"/>
          <w:color w:val="auto"/>
        </w:rPr>
        <w:t>do not have</w:t>
      </w:r>
      <w:r w:rsidR="000B7564">
        <w:rPr>
          <w:rFonts w:cs="Arial"/>
          <w:color w:val="auto"/>
        </w:rPr>
        <w:t xml:space="preserve"> the</w:t>
      </w:r>
      <w:r w:rsidRPr="006102C3">
        <w:rPr>
          <w:rFonts w:cs="Arial"/>
          <w:color w:val="auto"/>
        </w:rPr>
        <w:t xml:space="preserve"> same obligation</w:t>
      </w:r>
      <w:r w:rsidR="00B96B85">
        <w:rPr>
          <w:rFonts w:cs="Arial"/>
          <w:color w:val="auto"/>
        </w:rPr>
        <w:t xml:space="preserve"> to report to an overseeing body</w:t>
      </w:r>
      <w:r w:rsidRPr="006102C3">
        <w:rPr>
          <w:rFonts w:cs="Arial"/>
          <w:color w:val="auto"/>
        </w:rPr>
        <w:t>.</w:t>
      </w:r>
      <w:r w:rsidR="00B96B85">
        <w:rPr>
          <w:rFonts w:cs="Arial"/>
          <w:color w:val="auto"/>
        </w:rPr>
        <w:t xml:space="preserve"> It is worth considering whether this strong level of oversight is necessary</w:t>
      </w:r>
      <w:r w:rsidR="000B7564">
        <w:rPr>
          <w:rFonts w:cs="Arial"/>
          <w:color w:val="auto"/>
        </w:rPr>
        <w:t>.</w:t>
      </w:r>
      <w:r w:rsidR="00B96B85">
        <w:rPr>
          <w:rFonts w:cs="Arial"/>
          <w:color w:val="auto"/>
        </w:rPr>
        <w:t xml:space="preserve"> </w:t>
      </w:r>
      <w:r w:rsidRPr="006102C3">
        <w:rPr>
          <w:rFonts w:cs="Arial"/>
          <w:color w:val="auto"/>
        </w:rPr>
        <w:t xml:space="preserve"> </w:t>
      </w:r>
    </w:p>
    <w:p w:rsidR="004941E5" w:rsidRPr="009D6B98" w:rsidRDefault="003B2A3B" w:rsidP="009D6B98">
      <w:pPr>
        <w:pStyle w:val="B1BodyText"/>
        <w:spacing w:line="360" w:lineRule="auto"/>
        <w:ind w:left="0"/>
        <w:rPr>
          <w:rFonts w:cs="Arial"/>
          <w:color w:val="auto"/>
        </w:rPr>
      </w:pPr>
      <w:r w:rsidRPr="006102C3">
        <w:rPr>
          <w:rFonts w:cs="Arial"/>
          <w:color w:val="auto"/>
        </w:rPr>
        <w:t>The</w:t>
      </w:r>
      <w:r w:rsidR="00DD5197" w:rsidRPr="006102C3">
        <w:rPr>
          <w:rFonts w:cs="Arial"/>
          <w:color w:val="auto"/>
        </w:rPr>
        <w:t xml:space="preserve"> B</w:t>
      </w:r>
      <w:r w:rsidR="00BF6FE5" w:rsidRPr="006102C3">
        <w:rPr>
          <w:rFonts w:cs="Arial"/>
          <w:color w:val="auto"/>
        </w:rPr>
        <w:t>ill</w:t>
      </w:r>
      <w:r w:rsidRPr="006102C3">
        <w:rPr>
          <w:rFonts w:cs="Arial"/>
          <w:color w:val="auto"/>
        </w:rPr>
        <w:t xml:space="preserve">’s prohibiting of </w:t>
      </w:r>
      <w:r w:rsidR="00BF6FE5" w:rsidRPr="006102C3">
        <w:rPr>
          <w:rFonts w:cs="Arial"/>
          <w:color w:val="auto"/>
        </w:rPr>
        <w:t>General Council of the Bar member</w:t>
      </w:r>
      <w:r w:rsidRPr="006102C3">
        <w:rPr>
          <w:rFonts w:cs="Arial"/>
          <w:color w:val="auto"/>
        </w:rPr>
        <w:t>s</w:t>
      </w:r>
      <w:r w:rsidR="00061BB1" w:rsidRPr="006102C3">
        <w:rPr>
          <w:rFonts w:cs="Arial"/>
          <w:color w:val="auto"/>
        </w:rPr>
        <w:t xml:space="preserve"> and Law Society Council member</w:t>
      </w:r>
      <w:r w:rsidRPr="006102C3">
        <w:rPr>
          <w:rFonts w:cs="Arial"/>
          <w:color w:val="auto"/>
        </w:rPr>
        <w:t>s</w:t>
      </w:r>
      <w:r w:rsidR="00BF6FE5" w:rsidRPr="006102C3">
        <w:rPr>
          <w:rFonts w:cs="Arial"/>
          <w:color w:val="auto"/>
        </w:rPr>
        <w:t xml:space="preserve"> from serving on the Bar Complaints Committee</w:t>
      </w:r>
      <w:r w:rsidR="00061BB1" w:rsidRPr="006102C3">
        <w:rPr>
          <w:rFonts w:cs="Arial"/>
          <w:color w:val="auto"/>
        </w:rPr>
        <w:t xml:space="preserve"> and the Solicitor Complaints Committee respectively</w:t>
      </w:r>
      <w:r w:rsidR="00BF6FE5" w:rsidRPr="006102C3">
        <w:rPr>
          <w:rFonts w:cs="Arial"/>
          <w:color w:val="auto"/>
        </w:rPr>
        <w:t>,</w:t>
      </w:r>
      <w:r w:rsidRPr="006102C3">
        <w:rPr>
          <w:rFonts w:cs="Arial"/>
          <w:color w:val="auto"/>
        </w:rPr>
        <w:t xml:space="preserve"> is mirrored in other regulatory agencies such as the GMC and SSC which recruit committee members externally. In this paper, </w:t>
      </w:r>
      <w:r w:rsidR="007F667C" w:rsidRPr="006102C3">
        <w:rPr>
          <w:rFonts w:cs="Arial"/>
          <w:color w:val="auto"/>
        </w:rPr>
        <w:t>the Republic of Ireland’s Medical Council</w:t>
      </w:r>
      <w:r w:rsidRPr="006102C3">
        <w:rPr>
          <w:rFonts w:cs="Arial"/>
          <w:color w:val="auto"/>
        </w:rPr>
        <w:t xml:space="preserve"> is the only regulator which permits its council members to participate in complaints and disciplinary committees. </w:t>
      </w:r>
    </w:p>
    <w:p w:rsidR="00177DA8" w:rsidRDefault="008C381E" w:rsidP="006102C3">
      <w:pPr>
        <w:autoSpaceDE w:val="0"/>
        <w:autoSpaceDN w:val="0"/>
        <w:adjustRightInd w:val="0"/>
        <w:spacing w:line="360" w:lineRule="auto"/>
        <w:rPr>
          <w:rFonts w:ascii="Arial" w:hAnsi="Arial" w:cs="Arial"/>
          <w:sz w:val="22"/>
          <w:szCs w:val="22"/>
        </w:rPr>
      </w:pPr>
      <w:r w:rsidRPr="006102C3">
        <w:rPr>
          <w:rFonts w:ascii="Arial" w:hAnsi="Arial" w:cs="Arial"/>
          <w:sz w:val="22"/>
          <w:szCs w:val="22"/>
        </w:rPr>
        <w:t xml:space="preserve">It is worth highlighting that Clauses 25 and 44 of the Bill enable both committees to report publicly on the investigation although the respondent’s name or any identifying particulars cannot be revealed without his/her consent. This is in contrast to the procedure of regulators in this paper such as the GMC (via MPTS), CARB and the SSSC who publish notifications of hearings on their website and publish reports which </w:t>
      </w:r>
      <w:r w:rsidR="00997F2A" w:rsidRPr="006102C3">
        <w:rPr>
          <w:rFonts w:ascii="Arial" w:hAnsi="Arial" w:cs="Arial"/>
          <w:sz w:val="22"/>
          <w:szCs w:val="22"/>
        </w:rPr>
        <w:t xml:space="preserve">identify the respondent. </w:t>
      </w:r>
      <w:r w:rsidR="00E856D4" w:rsidRPr="006102C3">
        <w:rPr>
          <w:rFonts w:ascii="Arial" w:hAnsi="Arial" w:cs="Arial"/>
          <w:sz w:val="22"/>
          <w:szCs w:val="22"/>
        </w:rPr>
        <w:t xml:space="preserve">According to </w:t>
      </w:r>
      <w:r w:rsidR="00997F2A" w:rsidRPr="006102C3">
        <w:rPr>
          <w:rFonts w:ascii="Arial" w:hAnsi="Arial" w:cs="Arial"/>
          <w:sz w:val="22"/>
          <w:szCs w:val="22"/>
        </w:rPr>
        <w:t>the</w:t>
      </w:r>
      <w:r w:rsidR="00E856D4" w:rsidRPr="006102C3">
        <w:rPr>
          <w:rFonts w:ascii="Arial" w:hAnsi="Arial" w:cs="Arial"/>
          <w:sz w:val="22"/>
          <w:szCs w:val="22"/>
        </w:rPr>
        <w:t xml:space="preserve"> </w:t>
      </w:r>
      <w:r w:rsidR="00997F2A" w:rsidRPr="006102C3">
        <w:rPr>
          <w:rFonts w:ascii="Arial" w:hAnsi="Arial" w:cs="Arial"/>
          <w:sz w:val="22"/>
          <w:szCs w:val="22"/>
        </w:rPr>
        <w:t>conduct rules</w:t>
      </w:r>
      <w:r w:rsidR="00E856D4" w:rsidRPr="006102C3">
        <w:rPr>
          <w:rFonts w:ascii="Arial" w:hAnsi="Arial" w:cs="Arial"/>
          <w:sz w:val="22"/>
          <w:szCs w:val="22"/>
        </w:rPr>
        <w:t xml:space="preserve"> of CARB, the GMC and the SSSC, there is nothing in legislation to prevent these regulators identifying respondents in reports or online notifications of hearings.   </w:t>
      </w:r>
      <w:r w:rsidR="00997F2A" w:rsidRPr="006102C3">
        <w:rPr>
          <w:rFonts w:ascii="Arial" w:hAnsi="Arial" w:cs="Arial"/>
          <w:sz w:val="22"/>
          <w:szCs w:val="22"/>
        </w:rPr>
        <w:t xml:space="preserve"> </w:t>
      </w:r>
      <w:r w:rsidRPr="006102C3">
        <w:rPr>
          <w:rFonts w:ascii="Arial" w:hAnsi="Arial" w:cs="Arial"/>
          <w:sz w:val="22"/>
          <w:szCs w:val="22"/>
        </w:rPr>
        <w:t xml:space="preserve">  </w:t>
      </w:r>
    </w:p>
    <w:p w:rsidR="00177DA8" w:rsidRPr="006102C3" w:rsidRDefault="00177DA8" w:rsidP="00177DA8">
      <w:pPr>
        <w:autoSpaceDE w:val="0"/>
        <w:autoSpaceDN w:val="0"/>
        <w:adjustRightInd w:val="0"/>
        <w:spacing w:line="360" w:lineRule="auto"/>
        <w:rPr>
          <w:rFonts w:ascii="Arial" w:hAnsi="Arial" w:cs="Arial"/>
          <w:sz w:val="22"/>
          <w:szCs w:val="22"/>
        </w:rPr>
      </w:pPr>
    </w:p>
    <w:p w:rsidR="00177DA8" w:rsidRPr="006102C3" w:rsidRDefault="00177DA8" w:rsidP="00177DA8">
      <w:pPr>
        <w:autoSpaceDE w:val="0"/>
        <w:autoSpaceDN w:val="0"/>
        <w:adjustRightInd w:val="0"/>
        <w:spacing w:line="360" w:lineRule="auto"/>
        <w:rPr>
          <w:rFonts w:ascii="Arial" w:hAnsi="Arial" w:cs="Arial"/>
          <w:sz w:val="22"/>
          <w:szCs w:val="22"/>
        </w:rPr>
      </w:pPr>
      <w:r w:rsidRPr="006102C3">
        <w:rPr>
          <w:rFonts w:ascii="Arial" w:hAnsi="Arial" w:cs="Arial"/>
          <w:sz w:val="22"/>
          <w:szCs w:val="22"/>
        </w:rPr>
        <w:t xml:space="preserve">Clauses 11 and 29 of the Bill empower both the General Council of the Bar and the Law Society to compel ‘every barrister’ and ‘every solicitor’ to establish and maintain their own </w:t>
      </w:r>
      <w:r w:rsidRPr="006102C3">
        <w:rPr>
          <w:rFonts w:ascii="Arial" w:hAnsi="Arial" w:cs="Arial"/>
          <w:sz w:val="22"/>
          <w:szCs w:val="22"/>
        </w:rPr>
        <w:lastRenderedPageBreak/>
        <w:t xml:space="preserve">complaints procedure. This echoes the procedure in the accountancy and social care professions where complaints are not investigated by regulators unless the complainant provides evidence of attempting to resolve the matter with the individual/firm/affiliate/student.      </w:t>
      </w:r>
    </w:p>
    <w:p w:rsidR="00177DA8" w:rsidRPr="006102C3" w:rsidRDefault="00177DA8" w:rsidP="00177DA8">
      <w:pPr>
        <w:autoSpaceDE w:val="0"/>
        <w:autoSpaceDN w:val="0"/>
        <w:adjustRightInd w:val="0"/>
        <w:spacing w:line="360" w:lineRule="auto"/>
        <w:rPr>
          <w:rFonts w:ascii="Arial" w:hAnsi="Arial" w:cs="Arial"/>
          <w:sz w:val="22"/>
          <w:szCs w:val="22"/>
        </w:rPr>
      </w:pPr>
    </w:p>
    <w:p w:rsidR="00177DA8" w:rsidRDefault="00177DA8" w:rsidP="00177DA8">
      <w:pPr>
        <w:autoSpaceDE w:val="0"/>
        <w:autoSpaceDN w:val="0"/>
        <w:adjustRightInd w:val="0"/>
        <w:spacing w:line="360" w:lineRule="auto"/>
        <w:rPr>
          <w:rFonts w:ascii="Arial" w:hAnsi="Arial" w:cs="Arial"/>
          <w:sz w:val="22"/>
          <w:szCs w:val="22"/>
        </w:rPr>
      </w:pPr>
      <w:r w:rsidRPr="006102C3">
        <w:rPr>
          <w:rFonts w:ascii="Arial" w:hAnsi="Arial" w:cs="Arial"/>
          <w:sz w:val="22"/>
          <w:szCs w:val="22"/>
        </w:rPr>
        <w:t xml:space="preserve">The provision within the Bill for both committees to establish sub-committees compares strongly with the Preliminary Proceedings and Conduct sub-committees in the SSSC conduct procedure. These sub-committees are established by the SSSC and report their findings to the Conduct Committee. However, this facility is not employed by other regulatory agencies </w:t>
      </w:r>
      <w:proofErr w:type="spellStart"/>
      <w:r w:rsidRPr="006102C3">
        <w:rPr>
          <w:rFonts w:ascii="Arial" w:hAnsi="Arial" w:cs="Arial"/>
          <w:sz w:val="22"/>
          <w:szCs w:val="22"/>
        </w:rPr>
        <w:t>analysed</w:t>
      </w:r>
      <w:proofErr w:type="spellEnd"/>
      <w:r w:rsidRPr="006102C3">
        <w:rPr>
          <w:rFonts w:ascii="Arial" w:hAnsi="Arial" w:cs="Arial"/>
          <w:sz w:val="22"/>
          <w:szCs w:val="22"/>
        </w:rPr>
        <w:t xml:space="preserve"> in this paper. Rather than establish sub-committees, they employ case examiners, an investigation committee and a main disciplinary/conduct committee. Medical profession-based regulators also </w:t>
      </w:r>
      <w:proofErr w:type="spellStart"/>
      <w:r w:rsidRPr="006102C3">
        <w:rPr>
          <w:rFonts w:ascii="Arial" w:hAnsi="Arial" w:cs="Arial"/>
          <w:sz w:val="22"/>
          <w:szCs w:val="22"/>
        </w:rPr>
        <w:t>utilise</w:t>
      </w:r>
      <w:proofErr w:type="spellEnd"/>
      <w:r w:rsidRPr="006102C3">
        <w:rPr>
          <w:rFonts w:ascii="Arial" w:hAnsi="Arial" w:cs="Arial"/>
          <w:sz w:val="22"/>
          <w:szCs w:val="22"/>
        </w:rPr>
        <w:t xml:space="preserve"> interim orders panels.    </w:t>
      </w:r>
    </w:p>
    <w:p w:rsidR="00177DA8" w:rsidRPr="006102C3" w:rsidRDefault="00177DA8" w:rsidP="00177DA8">
      <w:pPr>
        <w:autoSpaceDE w:val="0"/>
        <w:autoSpaceDN w:val="0"/>
        <w:adjustRightInd w:val="0"/>
        <w:spacing w:line="360" w:lineRule="auto"/>
        <w:rPr>
          <w:rFonts w:ascii="Arial" w:hAnsi="Arial" w:cs="Arial"/>
          <w:sz w:val="22"/>
          <w:szCs w:val="22"/>
        </w:rPr>
      </w:pPr>
    </w:p>
    <w:p w:rsidR="00177DA8" w:rsidRDefault="00177DA8" w:rsidP="00177DA8">
      <w:pPr>
        <w:pStyle w:val="B1BodyText"/>
        <w:spacing w:line="360" w:lineRule="auto"/>
        <w:ind w:left="0"/>
        <w:rPr>
          <w:rFonts w:cs="Arial"/>
          <w:color w:val="auto"/>
        </w:rPr>
      </w:pPr>
      <w:r w:rsidRPr="006102C3">
        <w:rPr>
          <w:rFonts w:cs="Arial"/>
          <w:color w:val="auto"/>
        </w:rPr>
        <w:t xml:space="preserve">Finally, the Bill makes provision for complainants and respondents to appeal against decisions by the two committees to the High Court of Northern Ireland. </w:t>
      </w:r>
      <w:r>
        <w:rPr>
          <w:rFonts w:cs="Arial"/>
          <w:color w:val="auto"/>
        </w:rPr>
        <w:t>A</w:t>
      </w:r>
      <w:r w:rsidRPr="006102C3">
        <w:rPr>
          <w:rFonts w:cs="Arial"/>
          <w:color w:val="auto"/>
        </w:rPr>
        <w:t xml:space="preserve">ll regulators scrutinised in this report permit the complainant or respondent to appeal. In the case of ICAEW and CARB the appeal process is facilitated in-house while in others, complainants or respondents engage with the High Court (England, Wales, Northern Ireland and Republic of Ireland) or the Court of Session (Scotland).   </w:t>
      </w:r>
    </w:p>
    <w:p w:rsidR="008C381E" w:rsidRPr="006102C3" w:rsidRDefault="008C381E" w:rsidP="006102C3">
      <w:pPr>
        <w:autoSpaceDE w:val="0"/>
        <w:autoSpaceDN w:val="0"/>
        <w:adjustRightInd w:val="0"/>
        <w:spacing w:line="360" w:lineRule="auto"/>
        <w:rPr>
          <w:rFonts w:ascii="Arial" w:hAnsi="Arial" w:cs="Arial"/>
          <w:sz w:val="22"/>
          <w:szCs w:val="22"/>
        </w:rPr>
      </w:pPr>
      <w:r w:rsidRPr="006102C3">
        <w:rPr>
          <w:rFonts w:ascii="Arial" w:hAnsi="Arial" w:cs="Arial"/>
          <w:sz w:val="22"/>
          <w:szCs w:val="22"/>
        </w:rPr>
        <w:t xml:space="preserve">    </w:t>
      </w:r>
    </w:p>
    <w:p w:rsidR="00750818" w:rsidRPr="006102C3" w:rsidRDefault="00750818" w:rsidP="006102C3">
      <w:pPr>
        <w:autoSpaceDE w:val="0"/>
        <w:autoSpaceDN w:val="0"/>
        <w:adjustRightInd w:val="0"/>
        <w:spacing w:line="360" w:lineRule="auto"/>
        <w:rPr>
          <w:rFonts w:ascii="Arial" w:hAnsi="Arial" w:cs="Arial"/>
          <w:sz w:val="22"/>
          <w:szCs w:val="22"/>
        </w:rPr>
      </w:pPr>
    </w:p>
    <w:p w:rsidR="00664EAE" w:rsidRDefault="00664EAE" w:rsidP="006102C3">
      <w:pPr>
        <w:autoSpaceDE w:val="0"/>
        <w:autoSpaceDN w:val="0"/>
        <w:adjustRightInd w:val="0"/>
        <w:spacing w:line="360" w:lineRule="auto"/>
        <w:rPr>
          <w:rFonts w:ascii="Arial" w:hAnsi="Arial" w:cs="Arial"/>
          <w:sz w:val="22"/>
          <w:szCs w:val="22"/>
        </w:rPr>
      </w:pPr>
    </w:p>
    <w:p w:rsidR="006102C3" w:rsidRDefault="006102C3" w:rsidP="00733759">
      <w:pPr>
        <w:pStyle w:val="H1SectionHead"/>
        <w:spacing w:line="360" w:lineRule="auto"/>
        <w:rPr>
          <w:rFonts w:cs="Arial"/>
          <w:color w:val="auto"/>
        </w:rPr>
      </w:pPr>
    </w:p>
    <w:p w:rsidR="006102C3" w:rsidRDefault="006102C3" w:rsidP="006102C3">
      <w:pPr>
        <w:pStyle w:val="H1SectionHead"/>
        <w:spacing w:line="360" w:lineRule="auto"/>
        <w:jc w:val="center"/>
        <w:rPr>
          <w:rFonts w:cs="Arial"/>
          <w:color w:val="auto"/>
        </w:rPr>
      </w:pPr>
    </w:p>
    <w:p w:rsidR="006102C3" w:rsidRDefault="006102C3" w:rsidP="006102C3">
      <w:pPr>
        <w:pStyle w:val="H1SectionHead"/>
        <w:spacing w:line="360" w:lineRule="auto"/>
        <w:rPr>
          <w:rFonts w:cs="Arial"/>
          <w:color w:val="auto"/>
        </w:rPr>
      </w:pPr>
    </w:p>
    <w:p w:rsidR="006102C3" w:rsidRDefault="006102C3" w:rsidP="006102C3">
      <w:pPr>
        <w:pStyle w:val="H1SectionHead"/>
        <w:spacing w:line="360" w:lineRule="auto"/>
        <w:rPr>
          <w:rFonts w:cs="Arial"/>
          <w:color w:val="auto"/>
        </w:rPr>
      </w:pPr>
    </w:p>
    <w:p w:rsidR="009D6B98" w:rsidRPr="009D6B98" w:rsidRDefault="009D6B98" w:rsidP="009D6B98">
      <w:pPr>
        <w:pStyle w:val="B1BodyText"/>
      </w:pPr>
    </w:p>
    <w:p w:rsidR="00937B8F" w:rsidRPr="006102C3" w:rsidRDefault="00937B8F" w:rsidP="006102C3">
      <w:pPr>
        <w:pStyle w:val="Default"/>
        <w:spacing w:line="360" w:lineRule="auto"/>
        <w:rPr>
          <w:color w:val="auto"/>
        </w:rPr>
      </w:pPr>
    </w:p>
    <w:p w:rsidR="006102C3" w:rsidRDefault="006102C3" w:rsidP="00733759">
      <w:pPr>
        <w:pStyle w:val="Default"/>
        <w:spacing w:line="360" w:lineRule="auto"/>
        <w:rPr>
          <w:color w:val="auto"/>
        </w:rPr>
      </w:pPr>
      <w:r>
        <w:rPr>
          <w:color w:val="auto"/>
        </w:rPr>
        <w:t xml:space="preserve">                                                                                                              </w:t>
      </w:r>
      <w:r w:rsidR="00733759">
        <w:rPr>
          <w:color w:val="auto"/>
        </w:rPr>
        <w:t xml:space="preserve">                </w:t>
      </w:r>
    </w:p>
    <w:p w:rsidR="006926E7" w:rsidRDefault="006102C3" w:rsidP="00733759">
      <w:pPr>
        <w:pStyle w:val="Default"/>
        <w:spacing w:line="360" w:lineRule="auto"/>
        <w:rPr>
          <w:b/>
          <w:color w:val="auto"/>
          <w:sz w:val="28"/>
          <w:szCs w:val="28"/>
        </w:rPr>
      </w:pPr>
      <w:r w:rsidRPr="006102C3">
        <w:rPr>
          <w:b/>
          <w:color w:val="auto"/>
          <w:sz w:val="28"/>
          <w:szCs w:val="28"/>
        </w:rPr>
        <w:lastRenderedPageBreak/>
        <w:t xml:space="preserve">                        </w:t>
      </w:r>
      <w:r w:rsidR="00733759">
        <w:rPr>
          <w:b/>
          <w:color w:val="auto"/>
          <w:sz w:val="28"/>
          <w:szCs w:val="28"/>
        </w:rPr>
        <w:t xml:space="preserve">                      </w:t>
      </w:r>
    </w:p>
    <w:p w:rsidR="00BA7693" w:rsidRDefault="006102C3" w:rsidP="00BA7693">
      <w:pPr>
        <w:pStyle w:val="Default"/>
        <w:spacing w:line="360" w:lineRule="auto"/>
        <w:jc w:val="center"/>
        <w:rPr>
          <w:b/>
          <w:color w:val="auto"/>
          <w:sz w:val="28"/>
          <w:szCs w:val="28"/>
        </w:rPr>
      </w:pPr>
      <w:r w:rsidRPr="006102C3">
        <w:rPr>
          <w:b/>
          <w:color w:val="auto"/>
          <w:sz w:val="28"/>
          <w:szCs w:val="28"/>
        </w:rPr>
        <w:t>Appendix A</w:t>
      </w:r>
    </w:p>
    <w:p w:rsidR="00915635" w:rsidRDefault="00915635" w:rsidP="006102C3">
      <w:pPr>
        <w:pStyle w:val="Default"/>
        <w:spacing w:line="360" w:lineRule="auto"/>
        <w:rPr>
          <w:color w:val="auto"/>
        </w:rPr>
      </w:pPr>
    </w:p>
    <w:p w:rsidR="006102C3" w:rsidRDefault="006102C3" w:rsidP="006102C3">
      <w:pPr>
        <w:pStyle w:val="Default"/>
        <w:spacing w:line="360" w:lineRule="auto"/>
        <w:rPr>
          <w:color w:val="auto"/>
        </w:rPr>
      </w:pPr>
      <w:r w:rsidRPr="006102C3">
        <w:rPr>
          <w:color w:val="auto"/>
        </w:rPr>
        <w:t xml:space="preserve">27 </w:t>
      </w:r>
      <w:r w:rsidRPr="006102C3">
        <w:rPr>
          <w:b/>
          <w:bCs/>
          <w:color w:val="auto"/>
        </w:rPr>
        <w:t xml:space="preserve">Consent Orders </w:t>
      </w:r>
    </w:p>
    <w:p w:rsidR="006102C3" w:rsidRDefault="006102C3" w:rsidP="006102C3">
      <w:pPr>
        <w:pStyle w:val="Default"/>
        <w:spacing w:line="360" w:lineRule="auto"/>
        <w:rPr>
          <w:color w:val="auto"/>
        </w:rPr>
      </w:pPr>
    </w:p>
    <w:p w:rsidR="00937B8F" w:rsidRPr="006102C3" w:rsidRDefault="00937B8F" w:rsidP="006102C3">
      <w:pPr>
        <w:pStyle w:val="Default"/>
        <w:spacing w:after="299" w:line="360" w:lineRule="auto"/>
        <w:rPr>
          <w:color w:val="auto"/>
        </w:rPr>
      </w:pPr>
      <w:r w:rsidRPr="006102C3">
        <w:rPr>
          <w:color w:val="auto"/>
        </w:rPr>
        <w:t xml:space="preserve">27.1 The Head of Professional Conduct or the Conduct Committee may, with the agreement of the Member, Member Firm, Student or Affiliate concerned, make any one or more of the orders which a Disciplinary Tribunal would have power to make in respect of a Member, Member Firm, Student or Affiliate including an order that the Member, Member Firm, Student or Affiliate concerned shall pay to the Institute a specified sum by way of costs. </w:t>
      </w:r>
    </w:p>
    <w:p w:rsidR="00937B8F" w:rsidRPr="006102C3" w:rsidRDefault="00937B8F" w:rsidP="006102C3">
      <w:pPr>
        <w:pStyle w:val="Default"/>
        <w:spacing w:line="360" w:lineRule="auto"/>
        <w:rPr>
          <w:color w:val="auto"/>
        </w:rPr>
      </w:pPr>
      <w:r w:rsidRPr="006102C3">
        <w:rPr>
          <w:color w:val="auto"/>
        </w:rPr>
        <w:t xml:space="preserve">27.2 Any such order may be made upon such terms and conditions (if any) as the Head of Professional Conduct or the Conduct Committee considers appropriate. </w:t>
      </w:r>
    </w:p>
    <w:p w:rsidR="00937B8F" w:rsidRPr="006102C3" w:rsidRDefault="00937B8F" w:rsidP="006102C3">
      <w:pPr>
        <w:pStyle w:val="Default"/>
        <w:spacing w:line="360" w:lineRule="auto"/>
        <w:rPr>
          <w:color w:val="auto"/>
        </w:rPr>
      </w:pPr>
      <w:r w:rsidRPr="006102C3">
        <w:rPr>
          <w:color w:val="auto"/>
        </w:rPr>
        <w:t xml:space="preserve">23 </w:t>
      </w:r>
    </w:p>
    <w:p w:rsidR="00937B8F" w:rsidRPr="006102C3" w:rsidRDefault="00937B8F" w:rsidP="006102C3">
      <w:pPr>
        <w:pStyle w:val="Default"/>
        <w:spacing w:line="360" w:lineRule="auto"/>
        <w:rPr>
          <w:color w:val="auto"/>
        </w:rPr>
      </w:pPr>
    </w:p>
    <w:p w:rsidR="00937B8F" w:rsidRPr="006102C3" w:rsidRDefault="00937B8F" w:rsidP="006102C3">
      <w:pPr>
        <w:pStyle w:val="Default"/>
        <w:spacing w:line="360" w:lineRule="auto"/>
        <w:rPr>
          <w:color w:val="auto"/>
        </w:rPr>
      </w:pPr>
      <w:r w:rsidRPr="006102C3">
        <w:rPr>
          <w:color w:val="auto"/>
        </w:rPr>
        <w:t xml:space="preserve">27.3 Before a Consent Order is made, the Member, Member Firm, Student or Affiliate concerned shall be issued with a notice: </w:t>
      </w:r>
    </w:p>
    <w:p w:rsidR="00937B8F" w:rsidRPr="006102C3" w:rsidRDefault="00937B8F" w:rsidP="006102C3">
      <w:pPr>
        <w:pStyle w:val="Default"/>
        <w:spacing w:line="360" w:lineRule="auto"/>
        <w:rPr>
          <w:color w:val="auto"/>
        </w:rPr>
      </w:pPr>
    </w:p>
    <w:p w:rsidR="00937B8F" w:rsidRPr="006102C3" w:rsidRDefault="00937B8F" w:rsidP="006102C3">
      <w:pPr>
        <w:pStyle w:val="Default"/>
        <w:spacing w:after="299" w:line="360" w:lineRule="auto"/>
        <w:rPr>
          <w:color w:val="auto"/>
        </w:rPr>
      </w:pPr>
      <w:r w:rsidRPr="006102C3">
        <w:rPr>
          <w:color w:val="auto"/>
        </w:rPr>
        <w:t xml:space="preserve">27.3.1 </w:t>
      </w:r>
      <w:proofErr w:type="gramStart"/>
      <w:r w:rsidRPr="006102C3">
        <w:rPr>
          <w:color w:val="auto"/>
        </w:rPr>
        <w:t>describing</w:t>
      </w:r>
      <w:proofErr w:type="gramEnd"/>
      <w:r w:rsidRPr="006102C3">
        <w:rPr>
          <w:color w:val="auto"/>
        </w:rPr>
        <w:t xml:space="preserve"> the action which the Head of Professional Conduct or the Conduct Committee proposes to take if the Member, Member Firm, Student or Affiliate agrees; and </w:t>
      </w:r>
    </w:p>
    <w:p w:rsidR="00937B8F" w:rsidRPr="006102C3" w:rsidRDefault="00937B8F" w:rsidP="006102C3">
      <w:pPr>
        <w:pStyle w:val="Default"/>
        <w:spacing w:line="360" w:lineRule="auto"/>
        <w:rPr>
          <w:color w:val="auto"/>
        </w:rPr>
      </w:pPr>
      <w:r w:rsidRPr="006102C3">
        <w:rPr>
          <w:color w:val="auto"/>
        </w:rPr>
        <w:t xml:space="preserve">27.3.2 </w:t>
      </w:r>
      <w:proofErr w:type="gramStart"/>
      <w:r w:rsidRPr="006102C3">
        <w:rPr>
          <w:color w:val="auto"/>
        </w:rPr>
        <w:t>specifying</w:t>
      </w:r>
      <w:proofErr w:type="gramEnd"/>
      <w:r w:rsidRPr="006102C3">
        <w:rPr>
          <w:color w:val="auto"/>
        </w:rPr>
        <w:t xml:space="preserve"> the order which he, she or it would make in that event. </w:t>
      </w:r>
    </w:p>
    <w:p w:rsidR="00937B8F" w:rsidRPr="006102C3" w:rsidRDefault="00937B8F" w:rsidP="006102C3">
      <w:pPr>
        <w:pStyle w:val="Default"/>
        <w:spacing w:line="360" w:lineRule="auto"/>
        <w:rPr>
          <w:color w:val="auto"/>
        </w:rPr>
      </w:pPr>
    </w:p>
    <w:p w:rsidR="00937B8F" w:rsidRPr="006102C3" w:rsidRDefault="00937B8F" w:rsidP="006102C3">
      <w:pPr>
        <w:pStyle w:val="Default"/>
        <w:spacing w:line="360" w:lineRule="auto"/>
        <w:rPr>
          <w:color w:val="auto"/>
        </w:rPr>
      </w:pPr>
      <w:r w:rsidRPr="006102C3">
        <w:rPr>
          <w:color w:val="auto"/>
        </w:rPr>
        <w:t xml:space="preserve">27.4 If the Member, Member Firm, Student or Affiliate concerned agrees in writing to proceeding as proposed in the notice, the Head of Professional Conduct or the Conduct Committee shall make the order specified in the notice unless, having regard to any further information, which he, she or it has received (prior to the making of such order) whether from the Member, Member Firm, Student or Affiliate concerned, or any other source whatever, he, she or it is of the opinion: </w:t>
      </w:r>
    </w:p>
    <w:p w:rsidR="00937B8F" w:rsidRPr="006102C3" w:rsidRDefault="00937B8F" w:rsidP="006102C3">
      <w:pPr>
        <w:pStyle w:val="Default"/>
        <w:spacing w:line="360" w:lineRule="auto"/>
        <w:rPr>
          <w:color w:val="auto"/>
        </w:rPr>
      </w:pPr>
    </w:p>
    <w:p w:rsidR="00937B8F" w:rsidRPr="006102C3" w:rsidRDefault="00937B8F" w:rsidP="006102C3">
      <w:pPr>
        <w:pStyle w:val="Default"/>
        <w:spacing w:after="299" w:line="360" w:lineRule="auto"/>
        <w:rPr>
          <w:color w:val="auto"/>
        </w:rPr>
      </w:pPr>
      <w:r w:rsidRPr="006102C3">
        <w:rPr>
          <w:color w:val="auto"/>
        </w:rPr>
        <w:t xml:space="preserve">27.4.1 </w:t>
      </w:r>
      <w:proofErr w:type="gramStart"/>
      <w:r w:rsidRPr="006102C3">
        <w:rPr>
          <w:color w:val="auto"/>
        </w:rPr>
        <w:t>that</w:t>
      </w:r>
      <w:proofErr w:type="gramEnd"/>
      <w:r w:rsidRPr="006102C3">
        <w:rPr>
          <w:color w:val="auto"/>
        </w:rPr>
        <w:t xml:space="preserve"> a lesser or no penalty is appropriate, in which case he, she or it shall impose a lesser or no penalty, as the case may be; </w:t>
      </w:r>
    </w:p>
    <w:p w:rsidR="00937B8F" w:rsidRPr="006102C3" w:rsidRDefault="00937B8F" w:rsidP="006102C3">
      <w:pPr>
        <w:pStyle w:val="Default"/>
        <w:spacing w:after="299" w:line="360" w:lineRule="auto"/>
        <w:rPr>
          <w:color w:val="auto"/>
        </w:rPr>
      </w:pPr>
      <w:r w:rsidRPr="006102C3">
        <w:rPr>
          <w:color w:val="auto"/>
        </w:rPr>
        <w:lastRenderedPageBreak/>
        <w:t xml:space="preserve">27.4.2 that a smaller or no sum is appropriate by way of costs, in which case he, she or it shall order a smaller sum to be paid by way of costs or make no order as to costs, as the case may be; </w:t>
      </w:r>
    </w:p>
    <w:p w:rsidR="00937B8F" w:rsidRPr="006102C3" w:rsidRDefault="00937B8F" w:rsidP="006102C3">
      <w:pPr>
        <w:pStyle w:val="Default"/>
        <w:spacing w:after="299" w:line="360" w:lineRule="auto"/>
        <w:rPr>
          <w:color w:val="auto"/>
        </w:rPr>
      </w:pPr>
      <w:r w:rsidRPr="006102C3">
        <w:rPr>
          <w:color w:val="auto"/>
        </w:rPr>
        <w:t xml:space="preserve">27.4.3 that there is no case to answer in respect of the Disciplinary Matter, in which case he, she or it shall so find; or </w:t>
      </w:r>
    </w:p>
    <w:p w:rsidR="00937B8F" w:rsidRPr="006102C3" w:rsidRDefault="00937B8F" w:rsidP="006102C3">
      <w:pPr>
        <w:pStyle w:val="Default"/>
        <w:spacing w:line="360" w:lineRule="auto"/>
        <w:rPr>
          <w:color w:val="auto"/>
        </w:rPr>
      </w:pPr>
      <w:r w:rsidRPr="006102C3">
        <w:rPr>
          <w:color w:val="auto"/>
        </w:rPr>
        <w:t xml:space="preserve">27.4.4 that a greater penalty or a referral for hearing before a Disciplinary Tribunal is appropriate, in which case he, she or it shall serve on the Member, Member Firm, Student or Affiliate concerned a supplemental notice identifying the further information and indicating the extent of such greater penalty or other action as the Conduct Committee or the Head of Professional Conduct considers appropriate. </w:t>
      </w:r>
    </w:p>
    <w:p w:rsidR="00937B8F" w:rsidRPr="006102C3" w:rsidRDefault="00937B8F" w:rsidP="006102C3">
      <w:pPr>
        <w:pStyle w:val="Default"/>
        <w:spacing w:line="360" w:lineRule="auto"/>
        <w:rPr>
          <w:color w:val="auto"/>
        </w:rPr>
      </w:pPr>
    </w:p>
    <w:p w:rsidR="00937B8F" w:rsidRPr="006102C3" w:rsidRDefault="00937B8F" w:rsidP="006102C3">
      <w:pPr>
        <w:pStyle w:val="Default"/>
        <w:spacing w:line="360" w:lineRule="auto"/>
        <w:rPr>
          <w:color w:val="auto"/>
        </w:rPr>
      </w:pPr>
      <w:r w:rsidRPr="006102C3">
        <w:rPr>
          <w:color w:val="auto"/>
        </w:rPr>
        <w:t xml:space="preserve">27.5 If the Member, Member Firm, Student or Affiliate does not agree in writing to proceed as proposed in the notice, the matter shall be referred for hearing before a Disciplinary Tribunal by the Head of Professional Conduct directly. </w:t>
      </w:r>
    </w:p>
    <w:p w:rsidR="00937B8F" w:rsidRPr="006102C3" w:rsidRDefault="00937B8F" w:rsidP="006102C3">
      <w:pPr>
        <w:pStyle w:val="Default"/>
        <w:spacing w:line="360" w:lineRule="auto"/>
        <w:rPr>
          <w:color w:val="auto"/>
          <w:sz w:val="20"/>
          <w:szCs w:val="20"/>
        </w:rPr>
      </w:pPr>
    </w:p>
    <w:p w:rsidR="00C47B59" w:rsidRDefault="00C47B59" w:rsidP="00C47B59">
      <w:pPr>
        <w:pStyle w:val="Default"/>
        <w:spacing w:line="360" w:lineRule="auto"/>
        <w:rPr>
          <w:color w:val="auto"/>
        </w:rPr>
      </w:pPr>
      <w:proofErr w:type="gramStart"/>
      <w:r>
        <w:rPr>
          <w:color w:val="auto"/>
        </w:rPr>
        <w:t>(</w:t>
      </w:r>
      <w:r w:rsidRPr="00C47B59">
        <w:rPr>
          <w:b/>
          <w:color w:val="auto"/>
        </w:rPr>
        <w:t>Source:</w:t>
      </w:r>
      <w:r>
        <w:rPr>
          <w:color w:val="auto"/>
        </w:rPr>
        <w:t xml:space="preserve">  </w:t>
      </w:r>
      <w:r w:rsidRPr="00915635">
        <w:rPr>
          <w:color w:val="auto"/>
        </w:rPr>
        <w:t>Chartered Accountants Regulatory Board, ‘Disciplinary Regulati</w:t>
      </w:r>
      <w:r>
        <w:rPr>
          <w:color w:val="auto"/>
        </w:rPr>
        <w:t xml:space="preserve">ons’, retrieved 27 October 2015 </w:t>
      </w:r>
      <w:hyperlink r:id="rId16" w:history="1">
        <w:r w:rsidR="001A4E93" w:rsidRPr="00224637">
          <w:rPr>
            <w:rStyle w:val="Hyperlink"/>
          </w:rPr>
          <w:t>http://www.carb.ie/Documents/Support%20and%20Guidance/Insolvencysandg/FINAL%20Disciplinary%20Regulations%20051015.pdf</w:t>
        </w:r>
      </w:hyperlink>
      <w:r>
        <w:rPr>
          <w:color w:val="auto"/>
        </w:rPr>
        <w:t>, pp 22-23.)</w:t>
      </w:r>
      <w:proofErr w:type="gramEnd"/>
      <w:r>
        <w:rPr>
          <w:color w:val="auto"/>
        </w:rPr>
        <w:t xml:space="preserve"> </w:t>
      </w:r>
    </w:p>
    <w:p w:rsidR="00A9274D" w:rsidRPr="006102C3" w:rsidRDefault="00A9274D" w:rsidP="006102C3">
      <w:pPr>
        <w:pStyle w:val="B1BodyText"/>
        <w:spacing w:line="360" w:lineRule="auto"/>
        <w:rPr>
          <w:rFonts w:cs="Arial"/>
          <w:color w:val="auto"/>
        </w:rPr>
      </w:pPr>
    </w:p>
    <w:p w:rsidR="00A9274D" w:rsidRPr="006102C3" w:rsidRDefault="00A9274D" w:rsidP="006102C3">
      <w:pPr>
        <w:pStyle w:val="B1BodyText"/>
        <w:spacing w:line="360" w:lineRule="auto"/>
        <w:rPr>
          <w:rFonts w:cs="Arial"/>
          <w:color w:val="auto"/>
        </w:rPr>
      </w:pPr>
    </w:p>
    <w:p w:rsidR="00A9274D" w:rsidRPr="006102C3" w:rsidRDefault="00A9274D" w:rsidP="006102C3">
      <w:pPr>
        <w:pStyle w:val="B1BodyText"/>
        <w:spacing w:line="360" w:lineRule="auto"/>
        <w:rPr>
          <w:rFonts w:cs="Arial"/>
          <w:color w:val="auto"/>
        </w:rPr>
      </w:pPr>
    </w:p>
    <w:p w:rsidR="00A9274D" w:rsidRPr="006102C3" w:rsidRDefault="00A9274D" w:rsidP="006102C3">
      <w:pPr>
        <w:pStyle w:val="B1BodyText"/>
        <w:spacing w:line="360" w:lineRule="auto"/>
        <w:rPr>
          <w:rFonts w:cs="Arial"/>
          <w:color w:val="auto"/>
        </w:rPr>
      </w:pPr>
    </w:p>
    <w:p w:rsidR="00A9274D" w:rsidRPr="006102C3" w:rsidRDefault="00A9274D" w:rsidP="006102C3">
      <w:pPr>
        <w:pStyle w:val="B1BodyText"/>
        <w:spacing w:line="360" w:lineRule="auto"/>
        <w:rPr>
          <w:rFonts w:cs="Arial"/>
          <w:color w:val="auto"/>
        </w:rPr>
      </w:pPr>
    </w:p>
    <w:p w:rsidR="00A9274D" w:rsidRPr="006102C3" w:rsidRDefault="00A9274D" w:rsidP="006102C3">
      <w:pPr>
        <w:pStyle w:val="B1BodyText"/>
        <w:spacing w:line="360" w:lineRule="auto"/>
        <w:rPr>
          <w:rFonts w:cs="Arial"/>
          <w:color w:val="auto"/>
        </w:rPr>
      </w:pPr>
    </w:p>
    <w:sectPr w:rsidR="00A9274D" w:rsidRPr="006102C3" w:rsidSect="00307262">
      <w:headerReference w:type="default" r:id="rId17"/>
      <w:type w:val="continuous"/>
      <w:pgSz w:w="11906" w:h="16838" w:code="9"/>
      <w:pgMar w:top="1418"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A9C" w:rsidRDefault="008A0A9C">
      <w:r>
        <w:separator/>
      </w:r>
    </w:p>
  </w:endnote>
  <w:endnote w:type="continuationSeparator" w:id="0">
    <w:p w:rsidR="008A0A9C" w:rsidRDefault="008A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Franklin Gothic Book">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TC Stone Sans Std Medium">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EAE" w:rsidRDefault="00664EAE" w:rsidP="00946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4EAE" w:rsidRDefault="00664EAE" w:rsidP="009516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EAE" w:rsidRDefault="00664EAE" w:rsidP="003072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4E93">
      <w:rPr>
        <w:rStyle w:val="PageNumber"/>
        <w:noProof/>
      </w:rPr>
      <w:t>1</w:t>
    </w:r>
    <w:r>
      <w:rPr>
        <w:rStyle w:val="PageNumber"/>
      </w:rPr>
      <w:fldChar w:fldCharType="end"/>
    </w:r>
  </w:p>
  <w:p w:rsidR="00664EAE" w:rsidRPr="00307262" w:rsidRDefault="00664EAE" w:rsidP="00307262">
    <w:pPr>
      <w:pStyle w:val="Footer"/>
      <w:ind w:right="360"/>
      <w:rPr>
        <w:i/>
      </w:rPr>
    </w:pPr>
    <w:r>
      <w:rPr>
        <w:i/>
        <w:noProof/>
        <w:lang w:val="en-GB" w:eastAsia="en-GB"/>
      </w:rPr>
      <mc:AlternateContent>
        <mc:Choice Requires="wps">
          <w:drawing>
            <wp:anchor distT="0" distB="0" distL="114300" distR="114300" simplePos="0" relativeHeight="251656192" behindDoc="1" locked="0" layoutInCell="1" allowOverlap="1">
              <wp:simplePos x="0" y="0"/>
              <wp:positionH relativeFrom="page">
                <wp:posOffset>900430</wp:posOffset>
              </wp:positionH>
              <wp:positionV relativeFrom="page">
                <wp:posOffset>10153015</wp:posOffset>
              </wp:positionV>
              <wp:extent cx="5760085" cy="0"/>
              <wp:effectExtent l="5080" t="8890" r="6985" b="1016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884051" id="Line 2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9.45pt" to="524.4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7iUFAIAACk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" strokeweight=".5pt">
              <w10:wrap anchorx="page" anchory="page"/>
            </v:line>
          </w:pict>
        </mc:Fallback>
      </mc:AlternateContent>
    </w:r>
    <w:r w:rsidRPr="006537CF">
      <w:rPr>
        <w:i/>
      </w:rPr>
      <w:t>Providing research and information services to the Northern Ireland Assembly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A9C" w:rsidRDefault="008A0A9C">
      <w:r>
        <w:separator/>
      </w:r>
    </w:p>
  </w:footnote>
  <w:footnote w:type="continuationSeparator" w:id="0">
    <w:p w:rsidR="008A0A9C" w:rsidRDefault="008A0A9C">
      <w:r>
        <w:continuationSeparator/>
      </w:r>
    </w:p>
  </w:footnote>
  <w:footnote w:id="1">
    <w:p w:rsidR="00664EAE" w:rsidRPr="000D4634" w:rsidRDefault="00664EAE">
      <w:pPr>
        <w:pStyle w:val="FootnoteText"/>
        <w:rPr>
          <w:lang w:val="en-GB"/>
        </w:rPr>
      </w:pPr>
      <w:r>
        <w:rPr>
          <w:rStyle w:val="FootnoteReference"/>
        </w:rPr>
        <w:footnoteRef/>
      </w:r>
      <w:r>
        <w:t xml:space="preserve"> Chartered Accountants Regulatory Board, ‘</w:t>
      </w:r>
      <w:r w:rsidRPr="004F0416">
        <w:t>Guide to making a complaint and</w:t>
      </w:r>
      <w:r>
        <w:t xml:space="preserve"> to CARB’s Disciplinary Process’, retrieved 28 October 2015 </w:t>
      </w:r>
      <w:hyperlink r:id="rId1" w:history="1">
        <w:r w:rsidRPr="00E96623">
          <w:rPr>
            <w:rStyle w:val="Hyperlink"/>
          </w:rPr>
          <w:t>http://www.carb.ie/Documents/Rules%20and%20Regulations/Disciplinary/Draft%20Guide%20to%20the%20Disciplinary%20Process.pdf</w:t>
        </w:r>
      </w:hyperlink>
      <w:r>
        <w:t xml:space="preserve"> </w:t>
      </w:r>
    </w:p>
  </w:footnote>
  <w:footnote w:id="2">
    <w:p w:rsidR="00664EAE" w:rsidRPr="000D4634" w:rsidRDefault="00664EAE">
      <w:pPr>
        <w:pStyle w:val="FootnoteText"/>
        <w:rPr>
          <w:lang w:val="en-GB"/>
        </w:rPr>
      </w:pPr>
      <w:r>
        <w:rPr>
          <w:rStyle w:val="FootnoteReference"/>
        </w:rPr>
        <w:footnoteRef/>
      </w:r>
      <w:r>
        <w:t xml:space="preserve"> Chartered Accountants Regulatory Board, ‘New Disciplinary Bye-Laws’, retrieved 27 October 2015 </w:t>
      </w:r>
      <w:hyperlink r:id="rId2" w:history="1">
        <w:r w:rsidRPr="00E96623">
          <w:rPr>
            <w:rStyle w:val="Hyperlink"/>
          </w:rPr>
          <w:t>http://www.carb.ie/en/Public-Information/News/News-2015/New-Disciplinary-Bye-Laws/</w:t>
        </w:r>
      </w:hyperlink>
      <w:r>
        <w:t xml:space="preserve">  </w:t>
      </w:r>
    </w:p>
  </w:footnote>
  <w:footnote w:id="3">
    <w:p w:rsidR="00664EAE" w:rsidRPr="000D4634" w:rsidRDefault="00664EAE">
      <w:pPr>
        <w:pStyle w:val="FootnoteText"/>
        <w:rPr>
          <w:lang w:val="en-GB"/>
        </w:rPr>
      </w:pPr>
      <w:r>
        <w:rPr>
          <w:rStyle w:val="FootnoteReference"/>
        </w:rPr>
        <w:footnoteRef/>
      </w:r>
      <w:r>
        <w:t xml:space="preserve"> </w:t>
      </w:r>
      <w:proofErr w:type="gramStart"/>
      <w:r>
        <w:t xml:space="preserve">Chartered Accountants Regulatory Board, ‘Disciplinary Regulations’, retrieved 27 October 2015 </w:t>
      </w:r>
      <w:hyperlink r:id="rId3" w:history="1">
        <w:r w:rsidRPr="00E96623">
          <w:rPr>
            <w:rStyle w:val="Hyperlink"/>
          </w:rPr>
          <w:t>http://www.carb.ie/Documents/Support%20and%20Guidance/Insolvencysandg/FINAL%20Disciplinary%20Regulations%20051015.pdf</w:t>
        </w:r>
      </w:hyperlink>
      <w:r>
        <w:t>, p. 2.</w:t>
      </w:r>
      <w:proofErr w:type="gramEnd"/>
      <w:r>
        <w:t xml:space="preserve">  </w:t>
      </w:r>
    </w:p>
  </w:footnote>
  <w:footnote w:id="4">
    <w:p w:rsidR="00664EAE" w:rsidRPr="000D4634" w:rsidRDefault="00664EAE">
      <w:pPr>
        <w:pStyle w:val="FootnoteText"/>
        <w:rPr>
          <w:lang w:val="en-GB"/>
        </w:rPr>
      </w:pPr>
      <w:r>
        <w:rPr>
          <w:rStyle w:val="FootnoteReference"/>
        </w:rPr>
        <w:footnoteRef/>
      </w:r>
      <w:r>
        <w:t xml:space="preserve"> </w:t>
      </w:r>
      <w:proofErr w:type="gramStart"/>
      <w:r>
        <w:t xml:space="preserve">Chartered Accountants Regulatory Board, ‘Disciplinary Regulations’, retrieved 27 October 2015 </w:t>
      </w:r>
      <w:hyperlink r:id="rId4" w:history="1">
        <w:r w:rsidRPr="00E96623">
          <w:rPr>
            <w:rStyle w:val="Hyperlink"/>
          </w:rPr>
          <w:t>http://www.carb.ie/Documents/Support%20and%20Guidance/Insolvencysandg/FINAL%20Disciplinary%20Regulations%20051015.pdf</w:t>
        </w:r>
      </w:hyperlink>
      <w:r>
        <w:t>, p. 13.</w:t>
      </w:r>
      <w:proofErr w:type="gramEnd"/>
      <w:r>
        <w:t xml:space="preserve"> </w:t>
      </w:r>
    </w:p>
  </w:footnote>
  <w:footnote w:id="5">
    <w:p w:rsidR="00664EAE" w:rsidRPr="000D4634" w:rsidRDefault="00664EAE">
      <w:pPr>
        <w:pStyle w:val="FootnoteText"/>
        <w:rPr>
          <w:lang w:val="en-GB"/>
        </w:rPr>
      </w:pPr>
      <w:r>
        <w:rPr>
          <w:rStyle w:val="FootnoteReference"/>
        </w:rPr>
        <w:footnoteRef/>
      </w:r>
      <w:r>
        <w:t xml:space="preserve"> </w:t>
      </w:r>
      <w:proofErr w:type="gramStart"/>
      <w:r>
        <w:t xml:space="preserve">Chartered Accountants Regulatory Board, ‘Disciplinary Regulations’, retrieved 27 October 2015 </w:t>
      </w:r>
      <w:hyperlink r:id="rId5" w:history="1">
        <w:r w:rsidRPr="00E96623">
          <w:rPr>
            <w:rStyle w:val="Hyperlink"/>
          </w:rPr>
          <w:t>http://www.carb.ie/Documents/Support%20and%20Guidance/Insolvencysandg/FINAL%20Disciplinary%20Regulations%20051015.pdf</w:t>
        </w:r>
      </w:hyperlink>
      <w:r>
        <w:t>, p. 13.</w:t>
      </w:r>
      <w:proofErr w:type="gramEnd"/>
      <w:r>
        <w:t xml:space="preserve"> </w:t>
      </w:r>
    </w:p>
  </w:footnote>
  <w:footnote w:id="6">
    <w:p w:rsidR="00664EAE" w:rsidRPr="000D4634" w:rsidRDefault="00664EAE">
      <w:pPr>
        <w:pStyle w:val="FootnoteText"/>
        <w:rPr>
          <w:lang w:val="en-GB"/>
        </w:rPr>
      </w:pPr>
      <w:r>
        <w:rPr>
          <w:rStyle w:val="FootnoteReference"/>
        </w:rPr>
        <w:footnoteRef/>
      </w:r>
      <w:r>
        <w:t xml:space="preserve"> </w:t>
      </w:r>
      <w:proofErr w:type="gramStart"/>
      <w:r>
        <w:t xml:space="preserve">Chartered Accountants Regulatory Board, ‘Disciplinary Regulations’, retrieved 27 October 2015 </w:t>
      </w:r>
      <w:hyperlink r:id="rId6" w:history="1">
        <w:r w:rsidRPr="00E96623">
          <w:rPr>
            <w:rStyle w:val="Hyperlink"/>
          </w:rPr>
          <w:t>http://www.carb.ie/Documents/Support%20and%20Guidance/Insolvencysandg/FINAL%20Disciplinary%20Regulations%20051015.pdf</w:t>
        </w:r>
      </w:hyperlink>
      <w:r>
        <w:t>, p. 6.</w:t>
      </w:r>
      <w:proofErr w:type="gramEnd"/>
    </w:p>
  </w:footnote>
  <w:footnote w:id="7">
    <w:p w:rsidR="00664EAE" w:rsidRPr="000D4634" w:rsidRDefault="00664EAE">
      <w:pPr>
        <w:pStyle w:val="FootnoteText"/>
        <w:rPr>
          <w:lang w:val="en-GB"/>
        </w:rPr>
      </w:pPr>
      <w:r>
        <w:rPr>
          <w:rStyle w:val="FootnoteReference"/>
        </w:rPr>
        <w:footnoteRef/>
      </w:r>
      <w:r>
        <w:t xml:space="preserve"> </w:t>
      </w:r>
      <w:proofErr w:type="gramStart"/>
      <w:r>
        <w:t xml:space="preserve">Chartered Accountants Regulatory Board, ‘Disciplinary Regulations’, retrieved 27 October 2015 </w:t>
      </w:r>
      <w:hyperlink r:id="rId7" w:history="1">
        <w:r w:rsidRPr="00E96623">
          <w:rPr>
            <w:rStyle w:val="Hyperlink"/>
          </w:rPr>
          <w:t>http://www.carb.ie/Documents/Support%20and%20Guidance/Insolvencysandg/FINAL%20Disciplinary%20Regulations%20051015.pdf</w:t>
        </w:r>
      </w:hyperlink>
      <w:r>
        <w:t>, p. 9.</w:t>
      </w:r>
      <w:proofErr w:type="gramEnd"/>
      <w:r>
        <w:t xml:space="preserve"> </w:t>
      </w:r>
    </w:p>
  </w:footnote>
  <w:footnote w:id="8">
    <w:p w:rsidR="00664EAE" w:rsidRPr="000D4634" w:rsidRDefault="00664EAE">
      <w:pPr>
        <w:pStyle w:val="FootnoteText"/>
        <w:rPr>
          <w:lang w:val="en-GB"/>
        </w:rPr>
      </w:pPr>
      <w:r>
        <w:rPr>
          <w:rStyle w:val="FootnoteReference"/>
        </w:rPr>
        <w:footnoteRef/>
      </w:r>
      <w:r>
        <w:t xml:space="preserve"> </w:t>
      </w:r>
      <w:proofErr w:type="gramStart"/>
      <w:r>
        <w:t xml:space="preserve">Chartered Accountants Regulatory Board, ‘Disciplinary Regulations’, retrieved 27 October 2015 </w:t>
      </w:r>
      <w:hyperlink r:id="rId8" w:history="1">
        <w:r w:rsidRPr="00E96623">
          <w:rPr>
            <w:rStyle w:val="Hyperlink"/>
          </w:rPr>
          <w:t>http://www.carb.ie/Documents/Support%20and%20Guidance/Insolvencysandg/FINAL%20Disciplinary%20Regulations%20051015.pdf</w:t>
        </w:r>
      </w:hyperlink>
      <w:r>
        <w:t>, p. 8.</w:t>
      </w:r>
      <w:proofErr w:type="gramEnd"/>
      <w:r>
        <w:t xml:space="preserve"> </w:t>
      </w:r>
    </w:p>
  </w:footnote>
  <w:footnote w:id="9">
    <w:p w:rsidR="00664EAE" w:rsidRPr="000D4634" w:rsidRDefault="00664EAE">
      <w:pPr>
        <w:pStyle w:val="FootnoteText"/>
        <w:rPr>
          <w:lang w:val="en-GB"/>
        </w:rPr>
      </w:pPr>
      <w:r>
        <w:rPr>
          <w:rStyle w:val="FootnoteReference"/>
        </w:rPr>
        <w:footnoteRef/>
      </w:r>
      <w:r>
        <w:t xml:space="preserve"> </w:t>
      </w:r>
      <w:proofErr w:type="gramStart"/>
      <w:r>
        <w:t xml:space="preserve">Chartered Accountants Regulatory Board, ‘Disciplinary Regulations’, retrieved 27 October 2015 </w:t>
      </w:r>
      <w:hyperlink r:id="rId9" w:history="1">
        <w:r w:rsidRPr="00E96623">
          <w:rPr>
            <w:rStyle w:val="Hyperlink"/>
          </w:rPr>
          <w:t>http://www.carb.ie/Documents/Support%20and%20Guidance/Insolvencysandg/FINAL%20Disciplinary%20Regulations%20051015.pdf</w:t>
        </w:r>
      </w:hyperlink>
      <w:r>
        <w:t>, p. 8.</w:t>
      </w:r>
      <w:proofErr w:type="gramEnd"/>
    </w:p>
  </w:footnote>
  <w:footnote w:id="10">
    <w:p w:rsidR="00664EAE" w:rsidRPr="000D4634" w:rsidRDefault="00664EAE">
      <w:pPr>
        <w:pStyle w:val="FootnoteText"/>
        <w:rPr>
          <w:lang w:val="en-GB"/>
        </w:rPr>
      </w:pPr>
      <w:r>
        <w:rPr>
          <w:rStyle w:val="FootnoteReference"/>
        </w:rPr>
        <w:footnoteRef/>
      </w:r>
      <w:r>
        <w:t xml:space="preserve"> </w:t>
      </w:r>
      <w:proofErr w:type="gramStart"/>
      <w:r>
        <w:t xml:space="preserve">Chartered Accountants Regulatory Board, ‘Disciplinary Regulations’, retrieved 27 October 2015 </w:t>
      </w:r>
      <w:hyperlink r:id="rId10" w:history="1">
        <w:r w:rsidRPr="00E96623">
          <w:rPr>
            <w:rStyle w:val="Hyperlink"/>
          </w:rPr>
          <w:t>http://www.carb.ie/Documents/Support%20and%20Guidance/Insolvencysandg/FINAL%20Disciplinary%20Regulations%20051015.pdf</w:t>
        </w:r>
      </w:hyperlink>
      <w:r>
        <w:t>, p. 9.</w:t>
      </w:r>
      <w:proofErr w:type="gramEnd"/>
    </w:p>
  </w:footnote>
  <w:footnote w:id="11">
    <w:p w:rsidR="00664EAE" w:rsidRPr="000C2490" w:rsidRDefault="00664EAE" w:rsidP="000C2490">
      <w:pPr>
        <w:pStyle w:val="FootnoteText"/>
        <w:rPr>
          <w:lang w:val="en-GB"/>
        </w:rPr>
      </w:pPr>
      <w:r>
        <w:rPr>
          <w:rStyle w:val="FootnoteReference"/>
        </w:rPr>
        <w:footnoteRef/>
      </w:r>
      <w:r>
        <w:t xml:space="preserve"> Chartered Accountants Regulatory Board, ‘</w:t>
      </w:r>
      <w:r w:rsidRPr="004F0416">
        <w:t>Guide to making a complaint and</w:t>
      </w:r>
      <w:r>
        <w:t xml:space="preserve"> to CARB’s Disciplinary Process’, retrieved 28 October 2015 </w:t>
      </w:r>
      <w:hyperlink r:id="rId11" w:history="1">
        <w:r w:rsidRPr="00E96623">
          <w:rPr>
            <w:rStyle w:val="Hyperlink"/>
          </w:rPr>
          <w:t>http://www.carb.ie/Documents/Rules%20and%20Regulations/Disciplinary/Draft%20Guide%20to%20the%20Disciplinary%20Process.pdf</w:t>
        </w:r>
      </w:hyperlink>
    </w:p>
  </w:footnote>
  <w:footnote w:id="12">
    <w:p w:rsidR="00664EAE" w:rsidRPr="000D4634" w:rsidRDefault="00664EAE">
      <w:pPr>
        <w:pStyle w:val="FootnoteText"/>
        <w:rPr>
          <w:lang w:val="en-GB"/>
        </w:rPr>
      </w:pPr>
      <w:r>
        <w:rPr>
          <w:rStyle w:val="FootnoteReference"/>
        </w:rPr>
        <w:footnoteRef/>
      </w:r>
      <w:r>
        <w:t xml:space="preserve">Institute of Chartered Accountants Scotland (ICAS), ‘The Complaints Process: Guidance for Complainers’, retrieved 28 October 2015 </w:t>
      </w:r>
      <w:hyperlink r:id="rId12" w:history="1">
        <w:r w:rsidRPr="00E96623">
          <w:rPr>
            <w:rStyle w:val="Hyperlink"/>
          </w:rPr>
          <w:t>https://www.icas.com/__data/assets/pdf_file/0010/2116/Helpsheet-General-Complaints-complainers.pdf</w:t>
        </w:r>
      </w:hyperlink>
      <w:r>
        <w:t xml:space="preserve"> </w:t>
      </w:r>
    </w:p>
  </w:footnote>
  <w:footnote w:id="13">
    <w:p w:rsidR="00664EAE" w:rsidRPr="000D4634" w:rsidRDefault="00664EAE">
      <w:pPr>
        <w:pStyle w:val="FootnoteText"/>
        <w:rPr>
          <w:lang w:val="en-GB"/>
        </w:rPr>
      </w:pPr>
      <w:r>
        <w:rPr>
          <w:rStyle w:val="FootnoteReference"/>
        </w:rPr>
        <w:footnoteRef/>
      </w:r>
      <w:r>
        <w:t xml:space="preserve"> ICAS, </w:t>
      </w:r>
      <w:r w:rsidRPr="001C650F">
        <w:rPr>
          <w:i/>
        </w:rPr>
        <w:t>Investigation Regulations</w:t>
      </w:r>
      <w:r>
        <w:t xml:space="preserve">, p. 2. </w:t>
      </w:r>
    </w:p>
  </w:footnote>
  <w:footnote w:id="14">
    <w:p w:rsidR="00664EAE" w:rsidRPr="001C650F" w:rsidRDefault="00664EAE">
      <w:pPr>
        <w:pStyle w:val="FootnoteText"/>
        <w:rPr>
          <w:i/>
          <w:lang w:val="en-GB"/>
        </w:rPr>
      </w:pPr>
      <w:r>
        <w:rPr>
          <w:rStyle w:val="FootnoteReference"/>
        </w:rPr>
        <w:footnoteRef/>
      </w:r>
      <w:r>
        <w:t xml:space="preserve"> ICAS, </w:t>
      </w:r>
      <w:r w:rsidRPr="001C650F">
        <w:rPr>
          <w:i/>
        </w:rPr>
        <w:t>Sanctions Guidance</w:t>
      </w:r>
      <w:r>
        <w:t xml:space="preserve">, p. 6.  </w:t>
      </w:r>
    </w:p>
  </w:footnote>
  <w:footnote w:id="15">
    <w:p w:rsidR="00664EAE" w:rsidRPr="001C650F" w:rsidRDefault="00664EAE">
      <w:pPr>
        <w:pStyle w:val="FootnoteText"/>
        <w:rPr>
          <w:lang w:val="en-GB"/>
        </w:rPr>
      </w:pPr>
      <w:r>
        <w:rPr>
          <w:rStyle w:val="FootnoteReference"/>
        </w:rPr>
        <w:footnoteRef/>
      </w:r>
      <w:r>
        <w:t xml:space="preserve"> ICAS, </w:t>
      </w:r>
      <w:r>
        <w:rPr>
          <w:i/>
        </w:rPr>
        <w:t xml:space="preserve">Discipline and Appeals Tribunals Regulations, </w:t>
      </w:r>
      <w:r>
        <w:t xml:space="preserve">p. 2. </w:t>
      </w:r>
    </w:p>
  </w:footnote>
  <w:footnote w:id="16">
    <w:p w:rsidR="00664EAE" w:rsidRPr="00E357CA" w:rsidRDefault="00664EAE">
      <w:pPr>
        <w:pStyle w:val="FootnoteText"/>
        <w:rPr>
          <w:lang w:val="en-GB"/>
        </w:rPr>
      </w:pPr>
      <w:r>
        <w:rPr>
          <w:rStyle w:val="FootnoteReference"/>
        </w:rPr>
        <w:footnoteRef/>
      </w:r>
      <w:r>
        <w:t xml:space="preserve"> ICAS, </w:t>
      </w:r>
      <w:r>
        <w:rPr>
          <w:i/>
        </w:rPr>
        <w:t xml:space="preserve">Discipline and Appeals Tribunals Regulations, </w:t>
      </w:r>
      <w:r>
        <w:t>p. 2.</w:t>
      </w:r>
    </w:p>
  </w:footnote>
  <w:footnote w:id="17">
    <w:p w:rsidR="00664EAE" w:rsidRPr="00E357CA" w:rsidRDefault="00664EAE">
      <w:pPr>
        <w:pStyle w:val="FootnoteText"/>
        <w:rPr>
          <w:lang w:val="en-GB"/>
        </w:rPr>
      </w:pPr>
      <w:r>
        <w:rPr>
          <w:rStyle w:val="FootnoteReference"/>
        </w:rPr>
        <w:footnoteRef/>
      </w:r>
      <w:r>
        <w:t xml:space="preserve"> ICAS, </w:t>
      </w:r>
      <w:r>
        <w:rPr>
          <w:i/>
        </w:rPr>
        <w:t xml:space="preserve">Discipline and Appeals Tribunals Regulations, </w:t>
      </w:r>
      <w:r>
        <w:t>p. 2.</w:t>
      </w:r>
    </w:p>
  </w:footnote>
  <w:footnote w:id="18">
    <w:p w:rsidR="00664EAE" w:rsidRPr="00E357CA" w:rsidRDefault="00664EAE">
      <w:pPr>
        <w:pStyle w:val="FootnoteText"/>
        <w:rPr>
          <w:lang w:val="en-GB"/>
        </w:rPr>
      </w:pPr>
      <w:r>
        <w:rPr>
          <w:rStyle w:val="FootnoteReference"/>
        </w:rPr>
        <w:footnoteRef/>
      </w:r>
      <w:r>
        <w:t xml:space="preserve"> ICAS, </w:t>
      </w:r>
      <w:r>
        <w:rPr>
          <w:i/>
        </w:rPr>
        <w:t xml:space="preserve">Discipline and Appeals Tribunals Regulations, </w:t>
      </w:r>
      <w:r>
        <w:t>p. 2.</w:t>
      </w:r>
    </w:p>
  </w:footnote>
  <w:footnote w:id="19">
    <w:p w:rsidR="00664EAE" w:rsidRPr="00E357CA" w:rsidRDefault="00664EAE">
      <w:pPr>
        <w:pStyle w:val="FootnoteText"/>
        <w:rPr>
          <w:lang w:val="en-GB"/>
        </w:rPr>
      </w:pPr>
      <w:r>
        <w:rPr>
          <w:rStyle w:val="FootnoteReference"/>
        </w:rPr>
        <w:footnoteRef/>
      </w:r>
      <w:r>
        <w:t xml:space="preserve"> ICAEW ‘</w:t>
      </w:r>
      <w:r w:rsidRPr="00DD3866">
        <w:t>Members - FAQs on ICAEW’s disciplinary process</w:t>
      </w:r>
      <w:r>
        <w:t>’, retrieved 28 October 2015</w:t>
      </w:r>
      <w:r w:rsidRPr="00DD3866">
        <w:t xml:space="preserve"> </w:t>
      </w:r>
      <w:hyperlink r:id="rId13" w:history="1">
        <w:r w:rsidR="001A4E93" w:rsidRPr="00224637">
          <w:rPr>
            <w:rStyle w:val="Hyperlink"/>
          </w:rPr>
          <w:t>http://www.icaew.com/en/about-icaew/what-we-do/act-in-the-public-interest/complaints-process/faqs-on-the-disciplinary-process-for-members</w:t>
        </w:r>
      </w:hyperlink>
      <w:r w:rsidR="001A4E93">
        <w:t xml:space="preserve"> </w:t>
      </w:r>
    </w:p>
  </w:footnote>
  <w:footnote w:id="20">
    <w:p w:rsidR="00664EAE" w:rsidRPr="00E357CA" w:rsidRDefault="00664EAE">
      <w:pPr>
        <w:pStyle w:val="FootnoteText"/>
        <w:rPr>
          <w:lang w:val="en-GB"/>
        </w:rPr>
      </w:pPr>
      <w:r>
        <w:rPr>
          <w:rStyle w:val="FootnoteReference"/>
        </w:rPr>
        <w:footnoteRef/>
      </w:r>
      <w:r>
        <w:t xml:space="preserve"> </w:t>
      </w:r>
      <w:proofErr w:type="gramStart"/>
      <w:r>
        <w:t>Correspondence from ICAEW official on 4 November 2015.</w:t>
      </w:r>
      <w:proofErr w:type="gramEnd"/>
    </w:p>
  </w:footnote>
  <w:footnote w:id="21">
    <w:p w:rsidR="00664EAE" w:rsidRPr="00E357CA" w:rsidRDefault="00664EAE">
      <w:pPr>
        <w:pStyle w:val="FootnoteText"/>
        <w:rPr>
          <w:lang w:val="en-GB"/>
        </w:rPr>
      </w:pPr>
      <w:r>
        <w:rPr>
          <w:rStyle w:val="FootnoteReference"/>
        </w:rPr>
        <w:footnoteRef/>
      </w:r>
      <w:r>
        <w:t xml:space="preserve"> ICAEW ‘</w:t>
      </w:r>
      <w:r w:rsidRPr="00DD3866">
        <w:t>Members - FAQs on ICAEW’s disciplinary process</w:t>
      </w:r>
      <w:r>
        <w:t>’, retrieved 28 October 2015</w:t>
      </w:r>
      <w:r w:rsidRPr="00DD3866">
        <w:t xml:space="preserve"> </w:t>
      </w:r>
      <w:hyperlink r:id="rId14" w:history="1">
        <w:r w:rsidR="001A4E93" w:rsidRPr="00224637">
          <w:rPr>
            <w:rStyle w:val="Hyperlink"/>
          </w:rPr>
          <w:t>http://www.icaew.com/en/about-icaew/what-we-do/act-in-the-public-interest/complaints-process/faqs-on-the-disciplinary-process-for-members</w:t>
        </w:r>
      </w:hyperlink>
      <w:r w:rsidR="001A4E93">
        <w:t xml:space="preserve"> </w:t>
      </w:r>
    </w:p>
  </w:footnote>
  <w:footnote w:id="22">
    <w:p w:rsidR="00664EAE" w:rsidRPr="00DD3866" w:rsidRDefault="00664EAE">
      <w:pPr>
        <w:pStyle w:val="FootnoteText"/>
        <w:rPr>
          <w:lang w:val="en-GB"/>
        </w:rPr>
      </w:pPr>
      <w:r>
        <w:rPr>
          <w:rStyle w:val="FootnoteReference"/>
        </w:rPr>
        <w:footnoteRef/>
      </w:r>
      <w:r>
        <w:t xml:space="preserve"> ICAEW ‘</w:t>
      </w:r>
      <w:r w:rsidRPr="00DD3866">
        <w:t>Members - FAQs on ICAEW’s disciplinary process</w:t>
      </w:r>
      <w:r>
        <w:t>’, retrieved 28 October 2015</w:t>
      </w:r>
      <w:r w:rsidRPr="00DD3866">
        <w:t xml:space="preserve"> </w:t>
      </w:r>
      <w:hyperlink r:id="rId15" w:history="1">
        <w:r w:rsidR="001A4E93" w:rsidRPr="00224637">
          <w:rPr>
            <w:rStyle w:val="Hyperlink"/>
          </w:rPr>
          <w:t>http://www.icaew.com/en/about-icaew/what-we-do/act-in-the-public-interest/complaints-process/faqs-on-the-disciplinary-process-for-members</w:t>
        </w:r>
      </w:hyperlink>
      <w:r w:rsidR="001A4E93">
        <w:t xml:space="preserve"> </w:t>
      </w:r>
    </w:p>
  </w:footnote>
  <w:footnote w:id="23">
    <w:p w:rsidR="00664EAE" w:rsidRPr="00E357CA" w:rsidRDefault="00664EAE">
      <w:pPr>
        <w:pStyle w:val="FootnoteText"/>
        <w:rPr>
          <w:lang w:val="en-GB"/>
        </w:rPr>
      </w:pPr>
      <w:r>
        <w:rPr>
          <w:rStyle w:val="FootnoteReference"/>
        </w:rPr>
        <w:footnoteRef/>
      </w:r>
      <w:r>
        <w:t xml:space="preserve"> </w:t>
      </w:r>
      <w:proofErr w:type="gramStart"/>
      <w:r>
        <w:t>Correspondence from ICAEW official on 4 November 2015.</w:t>
      </w:r>
      <w:proofErr w:type="gramEnd"/>
    </w:p>
  </w:footnote>
  <w:footnote w:id="24">
    <w:p w:rsidR="00664EAE" w:rsidRPr="00E357CA" w:rsidRDefault="00664EAE">
      <w:pPr>
        <w:pStyle w:val="FootnoteText"/>
        <w:rPr>
          <w:lang w:val="en-GB"/>
        </w:rPr>
      </w:pPr>
      <w:r>
        <w:rPr>
          <w:rStyle w:val="FootnoteReference"/>
        </w:rPr>
        <w:footnoteRef/>
      </w:r>
      <w:r>
        <w:t xml:space="preserve"> GMC, ‘Investigating concerns’, retrieved 29 October 2015 </w:t>
      </w:r>
      <w:hyperlink r:id="rId16" w:history="1">
        <w:r w:rsidRPr="00E96623">
          <w:rPr>
            <w:rStyle w:val="Hyperlink"/>
          </w:rPr>
          <w:t>http://www.gmcuk.org/concerns/the_investigation_process/investigating_concerns.asp</w:t>
        </w:r>
      </w:hyperlink>
      <w:r>
        <w:t xml:space="preserve"> </w:t>
      </w:r>
    </w:p>
  </w:footnote>
  <w:footnote w:id="25">
    <w:p w:rsidR="00664EAE" w:rsidRPr="00E357CA" w:rsidRDefault="00664EAE">
      <w:pPr>
        <w:pStyle w:val="FootnoteText"/>
        <w:rPr>
          <w:lang w:val="en-GB"/>
        </w:rPr>
      </w:pPr>
      <w:r>
        <w:rPr>
          <w:rStyle w:val="FootnoteReference"/>
        </w:rPr>
        <w:footnoteRef/>
      </w:r>
      <w:r>
        <w:t xml:space="preserve"> MPTS, ‘</w:t>
      </w:r>
      <w:r w:rsidRPr="006C22EA">
        <w:t xml:space="preserve">Information about </w:t>
      </w:r>
      <w:proofErr w:type="spellStart"/>
      <w:r w:rsidRPr="006C22EA">
        <w:t>panellists</w:t>
      </w:r>
      <w:proofErr w:type="spellEnd"/>
      <w:r w:rsidRPr="006C22EA">
        <w:t xml:space="preserve"> and legal assessors</w:t>
      </w:r>
      <w:r>
        <w:t xml:space="preserve">’, retrieved 29 October 2015 </w:t>
      </w:r>
      <w:hyperlink r:id="rId17" w:history="1">
        <w:r w:rsidRPr="00E96623">
          <w:rPr>
            <w:rStyle w:val="Hyperlink"/>
          </w:rPr>
          <w:t>http://www.mpts-uk.org/about/1526.asp</w:t>
        </w:r>
      </w:hyperlink>
      <w:r>
        <w:t xml:space="preserve">  </w:t>
      </w:r>
    </w:p>
  </w:footnote>
  <w:footnote w:id="26">
    <w:p w:rsidR="00664EAE" w:rsidRPr="00E357CA" w:rsidRDefault="00664EAE">
      <w:pPr>
        <w:pStyle w:val="FootnoteText"/>
        <w:rPr>
          <w:lang w:val="en-GB"/>
        </w:rPr>
      </w:pPr>
      <w:r>
        <w:rPr>
          <w:rStyle w:val="FootnoteReference"/>
        </w:rPr>
        <w:footnoteRef/>
      </w:r>
      <w:r>
        <w:t xml:space="preserve"> MPTS , ‘Appeals’, retrieved 30 October 2015 </w:t>
      </w:r>
      <w:hyperlink r:id="rId18" w:history="1">
        <w:r w:rsidRPr="00E96623">
          <w:rPr>
            <w:rStyle w:val="Hyperlink"/>
          </w:rPr>
          <w:t>http://www.mpts-uk.org/decisions/1656.asp</w:t>
        </w:r>
      </w:hyperlink>
      <w:r>
        <w:t xml:space="preserve"> </w:t>
      </w:r>
    </w:p>
  </w:footnote>
  <w:footnote w:id="27">
    <w:p w:rsidR="00664EAE" w:rsidRPr="00E357CA" w:rsidRDefault="00664EAE">
      <w:pPr>
        <w:pStyle w:val="FootnoteText"/>
        <w:rPr>
          <w:lang w:val="en-GB"/>
        </w:rPr>
      </w:pPr>
      <w:r>
        <w:rPr>
          <w:rStyle w:val="FootnoteReference"/>
        </w:rPr>
        <w:footnoteRef/>
      </w:r>
      <w:r>
        <w:t xml:space="preserve">MPTS, ‘Interim Orders Panel, retrieved 30 October 2015  </w:t>
      </w:r>
      <w:hyperlink r:id="rId19" w:history="1">
        <w:r w:rsidR="001A4E93" w:rsidRPr="00224637">
          <w:rPr>
            <w:rStyle w:val="Hyperlink"/>
          </w:rPr>
          <w:t>http://www.mpts-uk.org/hearing/interim_order_panel_referrals.asp</w:t>
        </w:r>
      </w:hyperlink>
      <w:r w:rsidR="001A4E93">
        <w:t xml:space="preserve"> </w:t>
      </w:r>
    </w:p>
  </w:footnote>
  <w:footnote w:id="28">
    <w:p w:rsidR="00664EAE" w:rsidRPr="00E357CA" w:rsidRDefault="00664EAE">
      <w:pPr>
        <w:pStyle w:val="FootnoteText"/>
        <w:rPr>
          <w:lang w:val="en-GB"/>
        </w:rPr>
      </w:pPr>
      <w:r>
        <w:rPr>
          <w:rStyle w:val="FootnoteReference"/>
        </w:rPr>
        <w:footnoteRef/>
      </w:r>
      <w:r>
        <w:t xml:space="preserve"> Medical </w:t>
      </w:r>
      <w:proofErr w:type="gramStart"/>
      <w:r>
        <w:t>Practitioners  Act</w:t>
      </w:r>
      <w:proofErr w:type="gramEnd"/>
      <w:r>
        <w:t xml:space="preserve"> (Republic of Ireland)</w:t>
      </w:r>
      <w:r w:rsidRPr="006C22EA">
        <w:t xml:space="preserve"> 2007</w:t>
      </w:r>
      <w:r>
        <w:t xml:space="preserve"> section 58 (1) (a). </w:t>
      </w:r>
    </w:p>
  </w:footnote>
  <w:footnote w:id="29">
    <w:p w:rsidR="00664EAE" w:rsidRPr="00951DEB" w:rsidRDefault="00664EAE">
      <w:pPr>
        <w:pStyle w:val="FootnoteText"/>
        <w:rPr>
          <w:lang w:val="en-GB"/>
        </w:rPr>
      </w:pPr>
      <w:r>
        <w:rPr>
          <w:rStyle w:val="FootnoteReference"/>
        </w:rPr>
        <w:footnoteRef/>
      </w:r>
      <w:r>
        <w:t xml:space="preserve"> Medical Council, ‘Preliminary Proceedings Committee’, retrieved 28 October 2015 </w:t>
      </w:r>
      <w:hyperlink r:id="rId20" w:history="1">
        <w:r w:rsidRPr="00E96623">
          <w:rPr>
            <w:rStyle w:val="Hyperlink"/>
          </w:rPr>
          <w:t>http://www.medicalcouncil.ie/About-Us/Medical-Council-Committees/Preliminary-Proceedings-Committee.html</w:t>
        </w:r>
      </w:hyperlink>
      <w:r>
        <w:t xml:space="preserve"> </w:t>
      </w:r>
    </w:p>
  </w:footnote>
  <w:footnote w:id="30">
    <w:p w:rsidR="00664EAE" w:rsidRPr="002F257D" w:rsidRDefault="00664EAE">
      <w:pPr>
        <w:pStyle w:val="FootnoteText"/>
        <w:rPr>
          <w:lang w:val="en-GB"/>
        </w:rPr>
      </w:pPr>
      <w:r>
        <w:rPr>
          <w:rStyle w:val="FootnoteReference"/>
        </w:rPr>
        <w:footnoteRef/>
      </w:r>
      <w:r>
        <w:t xml:space="preserve"> Medical Council, ‘Fitness to </w:t>
      </w:r>
      <w:proofErr w:type="spellStart"/>
      <w:r>
        <w:t>Practise</w:t>
      </w:r>
      <w:proofErr w:type="spellEnd"/>
      <w:r>
        <w:t xml:space="preserve"> Inquiries’, retrieved 29 October 2015 </w:t>
      </w:r>
      <w:hyperlink r:id="rId21" w:history="1">
        <w:r w:rsidRPr="00E96623">
          <w:rPr>
            <w:rStyle w:val="Hyperlink"/>
          </w:rPr>
          <w:t>https://www.medicalcouncil.ie/Public-Information/Making-a-Complaint-/Fitness-to-Practise-Inquiries/</w:t>
        </w:r>
      </w:hyperlink>
      <w:r>
        <w:t xml:space="preserve"> </w:t>
      </w:r>
    </w:p>
  </w:footnote>
  <w:footnote w:id="31">
    <w:p w:rsidR="00664EAE" w:rsidRPr="00951DEB" w:rsidRDefault="00664EAE" w:rsidP="00BC6775">
      <w:pPr>
        <w:pStyle w:val="FootnoteText"/>
        <w:rPr>
          <w:lang w:val="en-GB"/>
        </w:rPr>
      </w:pPr>
      <w:r>
        <w:rPr>
          <w:rStyle w:val="FootnoteReference"/>
        </w:rPr>
        <w:footnoteRef/>
      </w:r>
      <w:r>
        <w:t xml:space="preserve"> </w:t>
      </w:r>
      <w:r>
        <w:rPr>
          <w:lang w:val="en-GB"/>
        </w:rPr>
        <w:t xml:space="preserve">Medical Council, </w:t>
      </w:r>
      <w:hyperlink r:id="rId22" w:history="1">
        <w:r w:rsidRPr="00E96623">
          <w:rPr>
            <w:rStyle w:val="Hyperlink"/>
          </w:rPr>
          <w:t>http://www.medicalcouncil.ie/About-Us/Medical-Council-Committees/Preliminary-Proceedings-Committee.html</w:t>
        </w:r>
      </w:hyperlink>
      <w:r>
        <w:t xml:space="preserve"> </w:t>
      </w:r>
    </w:p>
    <w:p w:rsidR="00664EAE" w:rsidRPr="00BC6775" w:rsidRDefault="00664EAE" w:rsidP="00BC6775">
      <w:pPr>
        <w:pStyle w:val="FootnoteText"/>
        <w:rPr>
          <w:lang w:val="en-GB"/>
        </w:rPr>
      </w:pPr>
      <w:r>
        <w:rPr>
          <w:rStyle w:val="FootnoteReference"/>
        </w:rPr>
        <w:footnoteRef/>
      </w:r>
      <w:r>
        <w:t xml:space="preserve"> Medical Council, ‘Fitness to </w:t>
      </w:r>
      <w:proofErr w:type="spellStart"/>
      <w:r>
        <w:t>Practise</w:t>
      </w:r>
      <w:proofErr w:type="spellEnd"/>
      <w:r>
        <w:t xml:space="preserve"> Inquiries’, retrieved 29 October 2015 </w:t>
      </w:r>
      <w:hyperlink r:id="rId23" w:history="1">
        <w:r w:rsidRPr="00E96623">
          <w:rPr>
            <w:rStyle w:val="Hyperlink"/>
          </w:rPr>
          <w:t>https://www.medicalcouncil.ie/Public-Information/Making-a-Complaint-/Fitness-to-Practise-Inquiries/</w:t>
        </w:r>
      </w:hyperlink>
    </w:p>
  </w:footnote>
  <w:footnote w:id="32">
    <w:p w:rsidR="00664EAE" w:rsidRPr="002F257D" w:rsidRDefault="00664EAE">
      <w:pPr>
        <w:pStyle w:val="FootnoteText"/>
        <w:rPr>
          <w:lang w:val="en-GB"/>
        </w:rPr>
      </w:pPr>
      <w:r>
        <w:rPr>
          <w:rStyle w:val="FootnoteReference"/>
        </w:rPr>
        <w:footnoteRef/>
      </w:r>
      <w:r>
        <w:t xml:space="preserve"> </w:t>
      </w:r>
      <w:proofErr w:type="gramStart"/>
      <w:r>
        <w:t>Correspondence from NISCC official on 28 October 2015.</w:t>
      </w:r>
      <w:proofErr w:type="gramEnd"/>
    </w:p>
  </w:footnote>
  <w:footnote w:id="33">
    <w:p w:rsidR="00664EAE" w:rsidRPr="002F257D" w:rsidRDefault="00664EAE">
      <w:pPr>
        <w:pStyle w:val="FootnoteText"/>
        <w:rPr>
          <w:lang w:val="en-GB"/>
        </w:rPr>
      </w:pPr>
      <w:r>
        <w:rPr>
          <w:rStyle w:val="FootnoteReference"/>
        </w:rPr>
        <w:footnoteRef/>
      </w:r>
      <w:r>
        <w:t xml:space="preserve"> </w:t>
      </w:r>
      <w:proofErr w:type="gramStart"/>
      <w:r>
        <w:t>Correspondence from NISCC official on 5 November 2015.</w:t>
      </w:r>
      <w:proofErr w:type="gramEnd"/>
    </w:p>
  </w:footnote>
  <w:footnote w:id="34">
    <w:p w:rsidR="00664EAE" w:rsidRPr="002F257D" w:rsidRDefault="00664EAE">
      <w:pPr>
        <w:pStyle w:val="FootnoteText"/>
        <w:rPr>
          <w:lang w:val="en-GB"/>
        </w:rPr>
      </w:pPr>
      <w:r>
        <w:rPr>
          <w:rStyle w:val="FootnoteReference"/>
        </w:rPr>
        <w:footnoteRef/>
      </w:r>
      <w:r>
        <w:t xml:space="preserve"> </w:t>
      </w:r>
      <w:proofErr w:type="gramStart"/>
      <w:r>
        <w:t>Correspondence from NISCC official on 28 October 2015.</w:t>
      </w:r>
      <w:proofErr w:type="gramEnd"/>
    </w:p>
  </w:footnote>
  <w:footnote w:id="35">
    <w:p w:rsidR="00664EAE" w:rsidRPr="002F257D" w:rsidRDefault="00664EAE">
      <w:pPr>
        <w:pStyle w:val="FootnoteText"/>
        <w:rPr>
          <w:lang w:val="en-GB"/>
        </w:rPr>
      </w:pPr>
      <w:r>
        <w:rPr>
          <w:rStyle w:val="FootnoteReference"/>
        </w:rPr>
        <w:footnoteRef/>
      </w:r>
      <w:r>
        <w:t xml:space="preserve"> NISCC, ‘NISCC (Conduct) Rules 2014’, p. 64. </w:t>
      </w:r>
    </w:p>
  </w:footnote>
  <w:footnote w:id="36">
    <w:p w:rsidR="00664EAE" w:rsidRPr="00050FEE" w:rsidRDefault="00664EAE">
      <w:pPr>
        <w:pStyle w:val="FootnoteText"/>
        <w:rPr>
          <w:lang w:val="en-GB"/>
        </w:rPr>
      </w:pPr>
      <w:r>
        <w:rPr>
          <w:rStyle w:val="FootnoteReference"/>
        </w:rPr>
        <w:footnoteRef/>
      </w:r>
      <w:r>
        <w:t xml:space="preserve"> SSSC, ‘Our process’, retrieved 8 November2015 </w:t>
      </w:r>
      <w:hyperlink r:id="rId24" w:history="1">
        <w:r w:rsidR="001A4E93" w:rsidRPr="00224637">
          <w:rPr>
            <w:rStyle w:val="Hyperlink"/>
          </w:rPr>
          <w:t>http://www.sssc.uk.com/fitness-to-practise/investigation-process/our-process</w:t>
        </w:r>
      </w:hyperlink>
      <w:r w:rsidR="001A4E93">
        <w:t xml:space="preserve"> </w:t>
      </w:r>
    </w:p>
  </w:footnote>
  <w:footnote w:id="37">
    <w:p w:rsidR="00664EAE" w:rsidRPr="002F257D" w:rsidRDefault="00664EAE">
      <w:pPr>
        <w:pStyle w:val="FootnoteText"/>
        <w:rPr>
          <w:lang w:val="en-GB"/>
        </w:rPr>
      </w:pPr>
      <w:r>
        <w:rPr>
          <w:rStyle w:val="FootnoteReference"/>
        </w:rPr>
        <w:footnoteRef/>
      </w:r>
      <w:r>
        <w:t xml:space="preserve"> SSSC, ‘Scottish Social Services Council (Conduct) Rules 2013’, p. 77. </w:t>
      </w:r>
    </w:p>
  </w:footnote>
  <w:footnote w:id="38">
    <w:p w:rsidR="00664EAE" w:rsidRPr="002F257D" w:rsidRDefault="00664EAE">
      <w:pPr>
        <w:pStyle w:val="FootnoteText"/>
        <w:rPr>
          <w:lang w:val="en-GB"/>
        </w:rPr>
      </w:pPr>
      <w:r>
        <w:rPr>
          <w:rStyle w:val="FootnoteReference"/>
        </w:rPr>
        <w:footnoteRef/>
      </w:r>
      <w:r>
        <w:t xml:space="preserve"> SSSC, ‘Committees and sub-committees’, retrieved 2 November 2015 </w:t>
      </w:r>
      <w:hyperlink r:id="rId25" w:history="1">
        <w:r w:rsidRPr="00E96623">
          <w:rPr>
            <w:rStyle w:val="Hyperlink"/>
          </w:rPr>
          <w:t>http://www.sssc.uk.com/about-the-sssc/governance/committees-and-sub-committees</w:t>
        </w:r>
      </w:hyperlink>
      <w:r>
        <w:t xml:space="preserve"> </w:t>
      </w:r>
    </w:p>
  </w:footnote>
  <w:footnote w:id="39">
    <w:p w:rsidR="00664EAE" w:rsidRPr="00850DF2" w:rsidRDefault="00664EAE">
      <w:pPr>
        <w:pStyle w:val="FootnoteText"/>
        <w:rPr>
          <w:lang w:val="en-GB"/>
        </w:rPr>
      </w:pPr>
      <w:r>
        <w:rPr>
          <w:rStyle w:val="FootnoteReference"/>
        </w:rPr>
        <w:footnoteRef/>
      </w:r>
      <w:r>
        <w:t xml:space="preserve"> </w:t>
      </w:r>
      <w:proofErr w:type="gramStart"/>
      <w:r>
        <w:t>Correspondence from SSSC official on 5 November 2015.</w:t>
      </w:r>
      <w:proofErr w:type="gramEnd"/>
    </w:p>
  </w:footnote>
  <w:footnote w:id="40">
    <w:p w:rsidR="00664EAE" w:rsidRPr="002F257D" w:rsidRDefault="00664EAE">
      <w:pPr>
        <w:pStyle w:val="FootnoteText"/>
        <w:rPr>
          <w:lang w:val="en-GB"/>
        </w:rPr>
      </w:pPr>
      <w:r>
        <w:rPr>
          <w:rStyle w:val="FootnoteReference"/>
        </w:rPr>
        <w:footnoteRef/>
      </w:r>
      <w:r>
        <w:t xml:space="preserve"> SSSC, ‘Scottish Social Services Council (Conduct) Rules 2013’, p. 77.</w:t>
      </w:r>
    </w:p>
  </w:footnote>
  <w:footnote w:id="41">
    <w:p w:rsidR="00664EAE" w:rsidRPr="002F257D" w:rsidRDefault="00664EAE">
      <w:pPr>
        <w:pStyle w:val="FootnoteText"/>
        <w:rPr>
          <w:lang w:val="en-GB"/>
        </w:rPr>
      </w:pPr>
      <w:r>
        <w:rPr>
          <w:rStyle w:val="FootnoteReference"/>
        </w:rPr>
        <w:footnoteRef/>
      </w:r>
      <w:r>
        <w:t xml:space="preserve"> SSSC, ‘Scottish Social Services Council (Conduct) Rules 2013’, p. 78.</w:t>
      </w:r>
    </w:p>
  </w:footnote>
  <w:footnote w:id="42">
    <w:p w:rsidR="003C28CB" w:rsidRPr="003C28CB" w:rsidRDefault="003C28CB">
      <w:pPr>
        <w:pStyle w:val="FootnoteText"/>
        <w:rPr>
          <w:lang w:val="en-GB"/>
        </w:rPr>
      </w:pPr>
      <w:r>
        <w:rPr>
          <w:rStyle w:val="FootnoteReference"/>
        </w:rPr>
        <w:footnoteRef/>
      </w:r>
      <w:r>
        <w:t xml:space="preserve"> In social care, </w:t>
      </w:r>
      <w:r>
        <w:rPr>
          <w:lang w:val="en-GB"/>
        </w:rPr>
        <w:t xml:space="preserve">a ‘Due Regard’ member is defined’ as a professional who is registered in the same part of the Register as the Applicant or Registrant whose case is under consideration’ (SSSC Rules 2013).  </w:t>
      </w:r>
    </w:p>
  </w:footnote>
  <w:footnote w:id="43">
    <w:p w:rsidR="00664EAE" w:rsidRPr="0025538D" w:rsidRDefault="00664EAE" w:rsidP="00850DF2">
      <w:pPr>
        <w:pStyle w:val="FootnoteText"/>
        <w:rPr>
          <w:lang w:val="en-GB"/>
        </w:rPr>
      </w:pPr>
      <w:r>
        <w:rPr>
          <w:rStyle w:val="FootnoteReference"/>
        </w:rPr>
        <w:footnoteRef/>
      </w:r>
      <w:r>
        <w:t xml:space="preserve"> SSSC, ‘Scottish Social Services Council (Conduct) Rules 2013’, p. 80.</w:t>
      </w:r>
    </w:p>
  </w:footnote>
  <w:footnote w:id="44">
    <w:p w:rsidR="00664EAE" w:rsidRPr="002F257D" w:rsidRDefault="00664EAE">
      <w:pPr>
        <w:pStyle w:val="FootnoteText"/>
        <w:rPr>
          <w:lang w:val="en-GB"/>
        </w:rPr>
      </w:pPr>
      <w:r>
        <w:rPr>
          <w:rStyle w:val="FootnoteReference"/>
        </w:rPr>
        <w:footnoteRef/>
      </w:r>
      <w:r>
        <w:t xml:space="preserve"> SSSC, ‘Scottish Social Services Council (Conduct) Rules 2013’, p. 82. </w:t>
      </w:r>
    </w:p>
  </w:footnote>
  <w:footnote w:id="45">
    <w:p w:rsidR="00664EAE" w:rsidRPr="002F257D" w:rsidRDefault="00664EAE">
      <w:pPr>
        <w:pStyle w:val="FootnoteText"/>
        <w:rPr>
          <w:lang w:val="en-GB"/>
        </w:rPr>
      </w:pPr>
      <w:r>
        <w:rPr>
          <w:rStyle w:val="FootnoteReference"/>
        </w:rPr>
        <w:footnoteRef/>
      </w:r>
      <w:r>
        <w:t xml:space="preserve"> CCW, ‘Raising concerns about a worker’, retrieved 5 November 2015 </w:t>
      </w:r>
      <w:hyperlink r:id="rId26" w:history="1">
        <w:r w:rsidRPr="00E96623">
          <w:rPr>
            <w:rStyle w:val="Hyperlink"/>
          </w:rPr>
          <w:t>http://www.ccwales.org.uk/how-to-complain-about-a-worker/</w:t>
        </w:r>
      </w:hyperlink>
      <w:r>
        <w:t xml:space="preserve"> </w:t>
      </w:r>
    </w:p>
  </w:footnote>
  <w:footnote w:id="46">
    <w:p w:rsidR="00664EAE" w:rsidRPr="002F257D" w:rsidRDefault="00664EAE">
      <w:pPr>
        <w:pStyle w:val="FootnoteText"/>
        <w:rPr>
          <w:lang w:val="en-GB"/>
        </w:rPr>
      </w:pPr>
      <w:r>
        <w:rPr>
          <w:rStyle w:val="FootnoteReference"/>
        </w:rPr>
        <w:footnoteRef/>
      </w:r>
      <w:r>
        <w:t xml:space="preserve"> </w:t>
      </w:r>
      <w:proofErr w:type="gramStart"/>
      <w:r>
        <w:t>Correspondence from CCW official on 29 October 2015.</w:t>
      </w:r>
      <w:proofErr w:type="gramEnd"/>
    </w:p>
  </w:footnote>
  <w:footnote w:id="47">
    <w:p w:rsidR="00664EAE" w:rsidRPr="002F257D" w:rsidRDefault="00664EAE">
      <w:pPr>
        <w:pStyle w:val="FootnoteText"/>
        <w:rPr>
          <w:lang w:val="en-GB"/>
        </w:rPr>
      </w:pPr>
      <w:r>
        <w:rPr>
          <w:rStyle w:val="FootnoteReference"/>
        </w:rPr>
        <w:footnoteRef/>
      </w:r>
      <w:r>
        <w:t xml:space="preserve"> CCW, ‘</w:t>
      </w:r>
      <w:r w:rsidRPr="0049309E">
        <w:t>Appeals - Fitness to Practice 2014</w:t>
      </w:r>
      <w:r>
        <w:t xml:space="preserve">’, retrieved 4 November 2015 </w:t>
      </w:r>
      <w:hyperlink r:id="rId27" w:history="1">
        <w:r w:rsidRPr="00E96623">
          <w:rPr>
            <w:rStyle w:val="Hyperlink"/>
          </w:rPr>
          <w:t>http://www.ccwales.org.uk/appeals-fitness-to-practice-rules-2014/</w:t>
        </w:r>
      </w:hyperlink>
      <w:r>
        <w:t xml:space="preserve"> </w:t>
      </w:r>
    </w:p>
  </w:footnote>
  <w:footnote w:id="48">
    <w:p w:rsidR="00664EAE" w:rsidRPr="002F257D" w:rsidRDefault="00664EAE">
      <w:pPr>
        <w:pStyle w:val="FootnoteText"/>
        <w:rPr>
          <w:lang w:val="en-GB"/>
        </w:rPr>
      </w:pPr>
      <w:r>
        <w:rPr>
          <w:rStyle w:val="FootnoteReference"/>
        </w:rPr>
        <w:footnoteRef/>
      </w:r>
      <w:r>
        <w:t xml:space="preserve"> </w:t>
      </w:r>
      <w:proofErr w:type="gramStart"/>
      <w:r>
        <w:t>Correspondence from HCPC official on 6 November 2015.</w:t>
      </w:r>
      <w:proofErr w:type="gramEnd"/>
    </w:p>
  </w:footnote>
  <w:footnote w:id="49">
    <w:p w:rsidR="00664EAE" w:rsidRPr="002F257D" w:rsidRDefault="00664EAE">
      <w:pPr>
        <w:pStyle w:val="FootnoteText"/>
        <w:rPr>
          <w:lang w:val="en-GB"/>
        </w:rPr>
      </w:pPr>
      <w:r>
        <w:rPr>
          <w:rStyle w:val="FootnoteReference"/>
        </w:rPr>
        <w:footnoteRef/>
      </w:r>
      <w:r>
        <w:t xml:space="preserve"> </w:t>
      </w:r>
      <w:proofErr w:type="gramStart"/>
      <w:r>
        <w:t>Correspondence from HCPC official on 6 November 2015.</w:t>
      </w:r>
      <w:proofErr w:type="gramEnd"/>
    </w:p>
  </w:footnote>
  <w:footnote w:id="50">
    <w:p w:rsidR="00664EAE" w:rsidRPr="002F257D" w:rsidRDefault="00664EAE">
      <w:pPr>
        <w:pStyle w:val="FootnoteText"/>
        <w:rPr>
          <w:lang w:val="en-GB"/>
        </w:rPr>
      </w:pPr>
      <w:r>
        <w:rPr>
          <w:rStyle w:val="FootnoteReference"/>
        </w:rPr>
        <w:footnoteRef/>
      </w:r>
      <w:r>
        <w:t xml:space="preserve"> HCPC, ‘</w:t>
      </w:r>
      <w:r w:rsidRPr="001818A1">
        <w:t>The investigations process - further information</w:t>
      </w:r>
      <w:r>
        <w:t xml:space="preserve">’, retrieved 5 November 2015 </w:t>
      </w:r>
      <w:hyperlink r:id="rId28" w:history="1">
        <w:r w:rsidRPr="00E96623">
          <w:rPr>
            <w:rStyle w:val="Hyperlink"/>
          </w:rPr>
          <w:t>http://www.hcpc-uk.org/complaints/raiseaconcern/investigations/</w:t>
        </w:r>
      </w:hyperlink>
      <w:r>
        <w:t xml:space="preserve"> </w:t>
      </w:r>
    </w:p>
  </w:footnote>
  <w:footnote w:id="51">
    <w:p w:rsidR="00664EAE" w:rsidRPr="002F257D" w:rsidRDefault="00664EAE">
      <w:pPr>
        <w:pStyle w:val="FootnoteText"/>
        <w:rPr>
          <w:lang w:val="en-GB"/>
        </w:rPr>
      </w:pPr>
      <w:r>
        <w:rPr>
          <w:rStyle w:val="FootnoteReference"/>
        </w:rPr>
        <w:footnoteRef/>
      </w:r>
      <w:r>
        <w:t xml:space="preserve"> HCPC, ‘</w:t>
      </w:r>
      <w:r w:rsidRPr="001818A1">
        <w:t>The investigations process - further information</w:t>
      </w:r>
      <w:r>
        <w:t xml:space="preserve">’, retrieved 5 November 2015 </w:t>
      </w:r>
      <w:hyperlink r:id="rId29" w:history="1">
        <w:r w:rsidRPr="00E96623">
          <w:rPr>
            <w:rStyle w:val="Hyperlink"/>
          </w:rPr>
          <w:t>http://www.hcpc-uk.org/complaints/raiseaconcern/investigations/</w:t>
        </w:r>
      </w:hyperlink>
    </w:p>
  </w:footnote>
  <w:footnote w:id="52">
    <w:p w:rsidR="00664EAE" w:rsidRPr="002F257D" w:rsidRDefault="00664EAE">
      <w:pPr>
        <w:pStyle w:val="FootnoteText"/>
        <w:rPr>
          <w:lang w:val="en-GB"/>
        </w:rPr>
      </w:pPr>
      <w:r>
        <w:rPr>
          <w:rStyle w:val="FootnoteReference"/>
        </w:rPr>
        <w:footnoteRef/>
      </w:r>
      <w:r>
        <w:t xml:space="preserve"> HCPC, ‘After the hearing’, retrieved 5 November 2015 </w:t>
      </w:r>
      <w:hyperlink r:id="rId30" w:history="1">
        <w:r w:rsidRPr="00E96623">
          <w:rPr>
            <w:rStyle w:val="Hyperlink"/>
          </w:rPr>
          <w:t>http://www.hpc-uk.org/complaints/hearings/afterthehearing/</w:t>
        </w:r>
      </w:hyperlink>
      <w:r>
        <w:t xml:space="preserve"> </w:t>
      </w:r>
    </w:p>
  </w:footnote>
  <w:footnote w:id="53">
    <w:p w:rsidR="00664EAE" w:rsidRPr="002F257D" w:rsidRDefault="00664EAE">
      <w:pPr>
        <w:pStyle w:val="FootnoteText"/>
        <w:rPr>
          <w:lang w:val="en-GB"/>
        </w:rPr>
      </w:pPr>
      <w:r>
        <w:rPr>
          <w:rStyle w:val="FootnoteReference"/>
        </w:rPr>
        <w:footnoteRef/>
      </w:r>
      <w:r>
        <w:t xml:space="preserve"> CORU, ‘What is CORU?’, retrieved 5 November 2015 </w:t>
      </w:r>
      <w:hyperlink r:id="rId31" w:history="1">
        <w:r w:rsidRPr="00E96623">
          <w:rPr>
            <w:rStyle w:val="Hyperlink"/>
          </w:rPr>
          <w:t>http://www.coru.ie/en/about_us/what_is_coru</w:t>
        </w:r>
      </w:hyperlink>
      <w:r>
        <w:t xml:space="preserve"> </w:t>
      </w:r>
    </w:p>
  </w:footnote>
  <w:footnote w:id="54">
    <w:p w:rsidR="00664EAE" w:rsidRPr="002F257D" w:rsidRDefault="00664EAE">
      <w:pPr>
        <w:pStyle w:val="FootnoteText"/>
        <w:rPr>
          <w:lang w:val="en-GB"/>
        </w:rPr>
      </w:pPr>
      <w:r>
        <w:rPr>
          <w:rStyle w:val="FootnoteReference"/>
        </w:rPr>
        <w:footnoteRef/>
      </w:r>
      <w:r>
        <w:t xml:space="preserve"> CORU, ‘Guide to Fitness to </w:t>
      </w:r>
      <w:proofErr w:type="spellStart"/>
      <w:r>
        <w:t>Practise</w:t>
      </w:r>
      <w:proofErr w:type="spellEnd"/>
      <w:r>
        <w:t xml:space="preserve">’, retrieved 4 November 2015 </w:t>
      </w:r>
      <w:hyperlink r:id="rId32" w:history="1">
        <w:r w:rsidRPr="00E96623">
          <w:rPr>
            <w:rStyle w:val="Hyperlink"/>
          </w:rPr>
          <w:t>http://www.coru.ie/en/public/guide_to_fitness_to_practise</w:t>
        </w:r>
      </w:hyperlink>
      <w:r>
        <w:t xml:space="preserve"> </w:t>
      </w:r>
    </w:p>
  </w:footnote>
  <w:footnote w:id="55">
    <w:p w:rsidR="00664EAE" w:rsidRPr="002F257D" w:rsidRDefault="00664EAE">
      <w:pPr>
        <w:pStyle w:val="FootnoteText"/>
        <w:rPr>
          <w:lang w:val="en-GB"/>
        </w:rPr>
      </w:pPr>
      <w:r>
        <w:rPr>
          <w:rStyle w:val="FootnoteReference"/>
        </w:rPr>
        <w:footnoteRef/>
      </w:r>
      <w:r>
        <w:t xml:space="preserve"> CORU, ‘Guide to Fitness to </w:t>
      </w:r>
      <w:proofErr w:type="spellStart"/>
      <w:r>
        <w:t>Practise</w:t>
      </w:r>
      <w:proofErr w:type="spellEnd"/>
      <w:r>
        <w:t xml:space="preserve">’, retrieved 4 November 2015 </w:t>
      </w:r>
      <w:hyperlink r:id="rId33" w:history="1">
        <w:r w:rsidRPr="00E96623">
          <w:rPr>
            <w:rStyle w:val="Hyperlink"/>
          </w:rPr>
          <w:t>http://www.coru.ie/en/public/guide_to_fitness_to_practise</w:t>
        </w:r>
      </w:hyperlink>
    </w:p>
  </w:footnote>
  <w:footnote w:id="56">
    <w:p w:rsidR="00664EAE" w:rsidRPr="006072A0" w:rsidRDefault="00664EAE">
      <w:pPr>
        <w:pStyle w:val="FootnoteText"/>
        <w:rPr>
          <w:lang w:val="en-GB"/>
        </w:rPr>
      </w:pPr>
      <w:r>
        <w:rPr>
          <w:rStyle w:val="FootnoteReference"/>
        </w:rPr>
        <w:footnoteRef/>
      </w:r>
      <w:r>
        <w:t xml:space="preserve"> </w:t>
      </w:r>
      <w:r w:rsidRPr="001818A1">
        <w:t xml:space="preserve">The reader should note that a full comparison with the bill’s provisions has not been possible as the remit of the paper widened on several occasions during the research process and the author was constrained by time issues. </w:t>
      </w:r>
    </w:p>
  </w:footnote>
  <w:footnote w:id="57">
    <w:p w:rsidR="004941E5" w:rsidRPr="006B0270" w:rsidRDefault="004941E5" w:rsidP="004941E5">
      <w:pPr>
        <w:pStyle w:val="FootnoteText"/>
      </w:pPr>
      <w:r>
        <w:rPr>
          <w:rStyle w:val="FootnoteReference"/>
        </w:rPr>
        <w:footnoteRef/>
      </w:r>
      <w:r>
        <w:t xml:space="preserve"> </w:t>
      </w:r>
      <w:r w:rsidRPr="006B0270">
        <w:t>Royal College of Veterinary Surgeons</w:t>
      </w:r>
      <w:r>
        <w:t xml:space="preserve">, ‘First Rate Regulator Initiative Best Regulatory Practice’ (2013), p. 7. </w:t>
      </w:r>
    </w:p>
  </w:footnote>
  <w:footnote w:id="58">
    <w:p w:rsidR="00177DA8" w:rsidRPr="00B72294" w:rsidRDefault="00177DA8" w:rsidP="00177DA8">
      <w:pPr>
        <w:pStyle w:val="FootnoteText"/>
        <w:rPr>
          <w:lang w:val="en-GB"/>
        </w:rPr>
      </w:pPr>
      <w:r>
        <w:rPr>
          <w:rStyle w:val="FootnoteReference"/>
        </w:rPr>
        <w:footnoteRef/>
      </w:r>
      <w:r>
        <w:t xml:space="preserve"> SSSC, ‘Scottish Social Services Council (Conduct) Rules 2013’, p. 77.</w:t>
      </w:r>
    </w:p>
  </w:footnote>
  <w:footnote w:id="59">
    <w:p w:rsidR="00177DA8" w:rsidRPr="002F257D" w:rsidRDefault="00177DA8" w:rsidP="00177DA8">
      <w:pPr>
        <w:pStyle w:val="FootnoteText"/>
        <w:rPr>
          <w:lang w:val="en-GB"/>
        </w:rPr>
      </w:pPr>
      <w:r>
        <w:rPr>
          <w:rStyle w:val="FootnoteReference"/>
        </w:rPr>
        <w:footnoteRef/>
      </w:r>
      <w:r>
        <w:t xml:space="preserve"> See </w:t>
      </w:r>
      <w:r w:rsidRPr="00996440">
        <w:t>General Medical Council (Constitution of Panels and Investigation Committee) Rules Order of Council 2004</w:t>
      </w:r>
      <w:r>
        <w:t xml:space="preserve">. </w:t>
      </w:r>
    </w:p>
  </w:footnote>
  <w:footnote w:id="60">
    <w:p w:rsidR="00177DA8" w:rsidRPr="002F257D" w:rsidRDefault="00177DA8" w:rsidP="00177DA8">
      <w:pPr>
        <w:pStyle w:val="FootnoteText"/>
        <w:rPr>
          <w:lang w:val="en-GB"/>
        </w:rPr>
      </w:pPr>
      <w:r>
        <w:rPr>
          <w:rStyle w:val="FootnoteReference"/>
        </w:rPr>
        <w:footnoteRef/>
      </w:r>
      <w:r>
        <w:t xml:space="preserve"> </w:t>
      </w:r>
      <w:proofErr w:type="gramStart"/>
      <w:r>
        <w:t xml:space="preserve">Chartered Accountants Regulatory Board, ‘Disciplinary Regulations’, retrieved 27 October 2015 </w:t>
      </w:r>
      <w:hyperlink r:id="rId34" w:history="1">
        <w:r w:rsidRPr="00E96623">
          <w:rPr>
            <w:rStyle w:val="Hyperlink"/>
          </w:rPr>
          <w:t>http://www.carb.ie/Documents/Support%20and%20Guidance/Insolvencysandg/FINAL%20Disciplinary%20Regulations%20051015.pdf</w:t>
        </w:r>
      </w:hyperlink>
      <w:r>
        <w:t>, p. 13.</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EAE" w:rsidRPr="00F37BC2" w:rsidRDefault="00664EAE" w:rsidP="00951693">
    <w:pPr>
      <w:pStyle w:val="MainHeader"/>
      <w:framePr w:w="9639" w:hSpace="181" w:wrap="notBeside" w:vAnchor="page" w:hAnchor="page" w:x="1135" w:y="4254"/>
      <w:rPr>
        <w:sz w:val="44"/>
        <w:szCs w:val="44"/>
      </w:rPr>
    </w:pPr>
    <w:r w:rsidRPr="00F37BC2">
      <w:rPr>
        <w:sz w:val="44"/>
        <w:szCs w:val="44"/>
      </w:rPr>
      <w:t xml:space="preserve">Research and </w:t>
    </w:r>
    <w:r>
      <w:rPr>
        <w:sz w:val="44"/>
        <w:szCs w:val="44"/>
      </w:rPr>
      <w:t>Information</w:t>
    </w:r>
    <w:r w:rsidRPr="00F37BC2">
      <w:rPr>
        <w:sz w:val="44"/>
        <w:szCs w:val="44"/>
      </w:rPr>
      <w:t xml:space="preserve"> Service</w:t>
    </w:r>
    <w:r w:rsidRPr="00F37BC2">
      <w:rPr>
        <w:sz w:val="44"/>
        <w:szCs w:val="44"/>
      </w:rPr>
      <w:br/>
    </w:r>
    <w:r>
      <w:rPr>
        <w:sz w:val="44"/>
        <w:szCs w:val="44"/>
      </w:rPr>
      <w:t>Briefing Paper</w:t>
    </w:r>
  </w:p>
  <w:p w:rsidR="00664EAE" w:rsidRPr="00951693" w:rsidRDefault="00664EAE" w:rsidP="00307262">
    <w:pPr>
      <w:pStyle w:val="B1BodyText"/>
    </w:pPr>
    <w:r>
      <w:rPr>
        <w:noProof/>
      </w:rPr>
      <mc:AlternateContent>
        <mc:Choice Requires="wps">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60310" cy="215900"/>
              <wp:effectExtent l="0" t="0" r="2540" b="3175"/>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4A4220" id="Rectangle 34" o:spid="_x0000_s1026" style="position:absolute;margin-left:0;margin-top:0;width:595.3pt;height:1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" stroked="f">
              <w10:wrap anchorx="page" anchory="page"/>
            </v:rect>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page">
                <wp:posOffset>7345045</wp:posOffset>
              </wp:positionH>
              <wp:positionV relativeFrom="page">
                <wp:posOffset>0</wp:posOffset>
              </wp:positionV>
              <wp:extent cx="215900" cy="1485900"/>
              <wp:effectExtent l="1270" t="0" r="1905" b="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9BABC5" id="Rectangle 33" o:spid="_x0000_s1026" style="position:absolute;margin-left:578.35pt;margin-top:0;width:17pt;height:1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" stroked="f">
              <w10:wrap anchorx="page" anchory="page"/>
            </v:rect>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215900" cy="1485900"/>
              <wp:effectExtent l="0" t="0" r="3175" b="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769DA4" id="Rectangle 32" o:spid="_x0000_s1026" style="position:absolute;margin-left:0;margin-top:0;width:17pt;height:1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" o:allowincell="f" stroked="f">
              <w10:wrap anchorx="page" anchory="page"/>
            </v:rect>
          </w:pict>
        </mc:Fallback>
      </mc:AlternateContent>
    </w:r>
    <w:r>
      <w:rPr>
        <w:noProof/>
      </w:rPr>
      <mc:AlternateContent>
        <mc:Choice Requires="wps">
          <w:drawing>
            <wp:anchor distT="0" distB="0" distL="114300" distR="114300" simplePos="0" relativeHeight="251655168" behindDoc="1" locked="0" layoutInCell="1" allowOverlap="1">
              <wp:simplePos x="0" y="0"/>
              <wp:positionH relativeFrom="page">
                <wp:posOffset>720090</wp:posOffset>
              </wp:positionH>
              <wp:positionV relativeFrom="page">
                <wp:posOffset>3420745</wp:posOffset>
              </wp:positionV>
              <wp:extent cx="6120130" cy="0"/>
              <wp:effectExtent l="5715" t="10795" r="8255" b="8255"/>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5DE83D" id="Line 2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269.35pt" to="538.6pt,2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syEQ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" strokeweight=".25pt">
              <w10:wrap anchorx="page" anchory="page"/>
            </v:line>
          </w:pict>
        </mc:Fallback>
      </mc:AlternateContent>
    </w:r>
    <w:r>
      <w:rPr>
        <w:noProof/>
      </w:rPr>
      <w:drawing>
        <wp:anchor distT="0" distB="0" distL="114300" distR="114300" simplePos="0" relativeHeight="251654144" behindDoc="1" locked="0" layoutInCell="0" allowOverlap="1">
          <wp:simplePos x="0" y="0"/>
          <wp:positionH relativeFrom="page">
            <wp:posOffset>0</wp:posOffset>
          </wp:positionH>
          <wp:positionV relativeFrom="page">
            <wp:posOffset>0</wp:posOffset>
          </wp:positionV>
          <wp:extent cx="7562850" cy="2447925"/>
          <wp:effectExtent l="19050" t="0" r="0" b="0"/>
          <wp:wrapNone/>
          <wp:docPr id="24" name="Picture 24" descr="Banner - No Bl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anner - No Bleed"/>
                  <pic:cNvPicPr>
                    <a:picLocks noChangeAspect="1" noChangeArrowheads="1"/>
                  </pic:cNvPicPr>
                </pic:nvPicPr>
                <pic:blipFill>
                  <a:blip r:embed="rId1"/>
                  <a:srcRect/>
                  <a:stretch>
                    <a:fillRect/>
                  </a:stretch>
                </pic:blipFill>
                <pic:spPr bwMode="auto">
                  <a:xfrm>
                    <a:off x="0" y="0"/>
                    <a:ext cx="7562850" cy="24479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EAE" w:rsidRPr="00951693" w:rsidRDefault="00664EAE" w:rsidP="00307262">
    <w:pPr>
      <w:pStyle w:val="DocumentFooter"/>
      <w:tabs>
        <w:tab w:val="left" w:pos="6360"/>
      </w:tabs>
      <w:jc w:val="left"/>
    </w:pPr>
    <w:r>
      <w:rPr>
        <w:noProof/>
        <w:lang w:val="en-GB" w:eastAsia="en-GB"/>
      </w:rPr>
      <mc:AlternateContent>
        <mc:Choice Requires="wps">
          <w:drawing>
            <wp:anchor distT="0" distB="0" distL="114300" distR="114300" simplePos="0" relativeHeight="251657216" behindDoc="1" locked="0" layoutInCell="1" allowOverlap="1">
              <wp:simplePos x="0" y="0"/>
              <wp:positionH relativeFrom="page">
                <wp:posOffset>900430</wp:posOffset>
              </wp:positionH>
              <wp:positionV relativeFrom="page">
                <wp:posOffset>540385</wp:posOffset>
              </wp:positionV>
              <wp:extent cx="5760085" cy="0"/>
              <wp:effectExtent l="5080" t="6985" r="6985" b="12065"/>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8994E2" id="Line 2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42.55pt" to="524.4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MUS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" strokeweight=".5pt">
              <w10:wrap anchorx="page" anchory="page"/>
            </v:line>
          </w:pict>
        </mc:Fallback>
      </mc:AlternateContent>
    </w:r>
    <w:r>
      <w:t>NIAR 000-000</w:t>
    </w:r>
    <w:r>
      <w:tab/>
    </w:r>
    <w:r>
      <w:tab/>
    </w:r>
    <w:r>
      <w:tab/>
      <w:t>Briefing Paper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FE80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C44A34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064C26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660CE4E"/>
    <w:lvl w:ilvl="0">
      <w:start w:val="1"/>
      <w:numFmt w:val="decimal"/>
      <w:pStyle w:val="ListNumber2"/>
      <w:lvlText w:val="%1."/>
      <w:lvlJc w:val="left"/>
      <w:pPr>
        <w:tabs>
          <w:tab w:val="num" w:pos="643"/>
        </w:tabs>
        <w:ind w:left="643" w:hanging="360"/>
      </w:pPr>
    </w:lvl>
  </w:abstractNum>
  <w:abstractNum w:abstractNumId="4">
    <w:nsid w:val="FFFFFF80"/>
    <w:multiLevelType w:val="singleLevel"/>
    <w:tmpl w:val="FFAC1E9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D66E0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26A40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4DCEE6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9E8DC16"/>
    <w:lvl w:ilvl="0">
      <w:start w:val="1"/>
      <w:numFmt w:val="decimal"/>
      <w:pStyle w:val="ListNumber"/>
      <w:lvlText w:val="%1."/>
      <w:lvlJc w:val="left"/>
      <w:pPr>
        <w:tabs>
          <w:tab w:val="num" w:pos="360"/>
        </w:tabs>
        <w:ind w:left="360" w:hanging="360"/>
      </w:pPr>
    </w:lvl>
  </w:abstractNum>
  <w:abstractNum w:abstractNumId="9">
    <w:nsid w:val="FFFFFF89"/>
    <w:multiLevelType w:val="singleLevel"/>
    <w:tmpl w:val="FA2E79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C54867"/>
    <w:multiLevelType w:val="hybridMultilevel"/>
    <w:tmpl w:val="A350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1351AF"/>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23A1DF2"/>
    <w:multiLevelType w:val="hybridMultilevel"/>
    <w:tmpl w:val="37CAB41C"/>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3">
    <w:nsid w:val="3C387ADC"/>
    <w:multiLevelType w:val="hybridMultilevel"/>
    <w:tmpl w:val="2FFC1F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3ED3742D"/>
    <w:multiLevelType w:val="hybridMultilevel"/>
    <w:tmpl w:val="99B660AA"/>
    <w:lvl w:ilvl="0" w:tplc="ECE008B6">
      <w:start w:val="1"/>
      <w:numFmt w:val="bullet"/>
      <w:pStyle w:val="B2BodyTextBullet2"/>
      <w:lvlText w:val="•"/>
      <w:lvlJc w:val="left"/>
      <w:pPr>
        <w:tabs>
          <w:tab w:val="num" w:pos="1134"/>
        </w:tabs>
        <w:ind w:left="1134" w:hanging="283"/>
      </w:pPr>
      <w:rPr>
        <w:rFonts w:ascii="ITC Franklin Gothic Book" w:hAnsi="ITC Franklin Gothic Book"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26C7C63"/>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EE93F90"/>
    <w:multiLevelType w:val="hybridMultilevel"/>
    <w:tmpl w:val="59989A32"/>
    <w:lvl w:ilvl="0" w:tplc="27C4EE88">
      <w:start w:val="6"/>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7">
    <w:nsid w:val="73F12DD4"/>
    <w:multiLevelType w:val="hybridMultilevel"/>
    <w:tmpl w:val="F7029EB4"/>
    <w:lvl w:ilvl="0" w:tplc="B70E098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4344751"/>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7DF50106"/>
    <w:multiLevelType w:val="hybridMultilevel"/>
    <w:tmpl w:val="CCD0F30C"/>
    <w:lvl w:ilvl="0" w:tplc="D8A6E146">
      <w:start w:val="1"/>
      <w:numFmt w:val="bullet"/>
      <w:pStyle w:val="B2BodyTextBullet1"/>
      <w:lvlText w:val=""/>
      <w:lvlJc w:val="left"/>
      <w:pPr>
        <w:tabs>
          <w:tab w:val="num" w:pos="850"/>
        </w:tabs>
        <w:ind w:left="850" w:hanging="283"/>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5"/>
  </w:num>
  <w:num w:numId="15">
    <w:abstractNumId w:val="11"/>
  </w:num>
  <w:num w:numId="16">
    <w:abstractNumId w:val="13"/>
  </w:num>
  <w:num w:numId="17">
    <w:abstractNumId w:val="17"/>
  </w:num>
  <w:num w:numId="18">
    <w:abstractNumId w:val="16"/>
  </w:num>
  <w:num w:numId="19">
    <w:abstractNumId w:val="12"/>
  </w:num>
  <w:num w:numId="2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0DB"/>
    <w:rsid w:val="00001181"/>
    <w:rsid w:val="000030A5"/>
    <w:rsid w:val="00004391"/>
    <w:rsid w:val="00007D64"/>
    <w:rsid w:val="00011622"/>
    <w:rsid w:val="00022AD1"/>
    <w:rsid w:val="00022BAB"/>
    <w:rsid w:val="00027125"/>
    <w:rsid w:val="00030C12"/>
    <w:rsid w:val="00033699"/>
    <w:rsid w:val="00034DDA"/>
    <w:rsid w:val="00035A52"/>
    <w:rsid w:val="00035C27"/>
    <w:rsid w:val="000417C1"/>
    <w:rsid w:val="00042EDA"/>
    <w:rsid w:val="00046970"/>
    <w:rsid w:val="00050FEE"/>
    <w:rsid w:val="00051753"/>
    <w:rsid w:val="0005731D"/>
    <w:rsid w:val="00061BB1"/>
    <w:rsid w:val="0006548E"/>
    <w:rsid w:val="00067216"/>
    <w:rsid w:val="0006746F"/>
    <w:rsid w:val="00075428"/>
    <w:rsid w:val="000830DB"/>
    <w:rsid w:val="00083F47"/>
    <w:rsid w:val="00086471"/>
    <w:rsid w:val="00086684"/>
    <w:rsid w:val="000919BA"/>
    <w:rsid w:val="000A17C8"/>
    <w:rsid w:val="000A7C6F"/>
    <w:rsid w:val="000B2FD1"/>
    <w:rsid w:val="000B68DA"/>
    <w:rsid w:val="000B7564"/>
    <w:rsid w:val="000C0BD6"/>
    <w:rsid w:val="000C1A8E"/>
    <w:rsid w:val="000C2490"/>
    <w:rsid w:val="000C3C83"/>
    <w:rsid w:val="000C47BF"/>
    <w:rsid w:val="000C7215"/>
    <w:rsid w:val="000D1AAC"/>
    <w:rsid w:val="000D4634"/>
    <w:rsid w:val="000D5A78"/>
    <w:rsid w:val="000D6CB1"/>
    <w:rsid w:val="000E090A"/>
    <w:rsid w:val="000E181D"/>
    <w:rsid w:val="000E1F31"/>
    <w:rsid w:val="000E35C5"/>
    <w:rsid w:val="000F24BE"/>
    <w:rsid w:val="000F2563"/>
    <w:rsid w:val="000F4513"/>
    <w:rsid w:val="000F72BC"/>
    <w:rsid w:val="00101709"/>
    <w:rsid w:val="001031D7"/>
    <w:rsid w:val="00106ED6"/>
    <w:rsid w:val="00112158"/>
    <w:rsid w:val="00124A8C"/>
    <w:rsid w:val="001302C7"/>
    <w:rsid w:val="0013083D"/>
    <w:rsid w:val="001331FA"/>
    <w:rsid w:val="001340EA"/>
    <w:rsid w:val="00136D7A"/>
    <w:rsid w:val="00147892"/>
    <w:rsid w:val="00147F4B"/>
    <w:rsid w:val="0015187C"/>
    <w:rsid w:val="001532ED"/>
    <w:rsid w:val="001567FE"/>
    <w:rsid w:val="0015720B"/>
    <w:rsid w:val="00165012"/>
    <w:rsid w:val="00171320"/>
    <w:rsid w:val="00172FD9"/>
    <w:rsid w:val="00175C43"/>
    <w:rsid w:val="00177023"/>
    <w:rsid w:val="00177DA8"/>
    <w:rsid w:val="0018014F"/>
    <w:rsid w:val="001818A1"/>
    <w:rsid w:val="00183A1D"/>
    <w:rsid w:val="00184A49"/>
    <w:rsid w:val="001909B0"/>
    <w:rsid w:val="00192697"/>
    <w:rsid w:val="00193C80"/>
    <w:rsid w:val="001944A8"/>
    <w:rsid w:val="001A0948"/>
    <w:rsid w:val="001A15FC"/>
    <w:rsid w:val="001A3450"/>
    <w:rsid w:val="001A4E93"/>
    <w:rsid w:val="001A5025"/>
    <w:rsid w:val="001A571C"/>
    <w:rsid w:val="001A5C3F"/>
    <w:rsid w:val="001A5C94"/>
    <w:rsid w:val="001B2963"/>
    <w:rsid w:val="001B464F"/>
    <w:rsid w:val="001B4F55"/>
    <w:rsid w:val="001B508E"/>
    <w:rsid w:val="001B702F"/>
    <w:rsid w:val="001C0D85"/>
    <w:rsid w:val="001C0EA5"/>
    <w:rsid w:val="001C401F"/>
    <w:rsid w:val="001C5F15"/>
    <w:rsid w:val="001C650F"/>
    <w:rsid w:val="001D010F"/>
    <w:rsid w:val="001D1068"/>
    <w:rsid w:val="001D386A"/>
    <w:rsid w:val="001D3D40"/>
    <w:rsid w:val="001D6A5F"/>
    <w:rsid w:val="001D74FE"/>
    <w:rsid w:val="001D7AAA"/>
    <w:rsid w:val="001E187F"/>
    <w:rsid w:val="001E6208"/>
    <w:rsid w:val="001E6CE5"/>
    <w:rsid w:val="001E7C4F"/>
    <w:rsid w:val="001F0610"/>
    <w:rsid w:val="002026F1"/>
    <w:rsid w:val="002055B8"/>
    <w:rsid w:val="002056B0"/>
    <w:rsid w:val="0020613E"/>
    <w:rsid w:val="0020690D"/>
    <w:rsid w:val="00210EB6"/>
    <w:rsid w:val="00215AA2"/>
    <w:rsid w:val="002179BC"/>
    <w:rsid w:val="00217C9D"/>
    <w:rsid w:val="00220CCD"/>
    <w:rsid w:val="0022112F"/>
    <w:rsid w:val="0022228C"/>
    <w:rsid w:val="002260BE"/>
    <w:rsid w:val="002275DA"/>
    <w:rsid w:val="002353B4"/>
    <w:rsid w:val="00235797"/>
    <w:rsid w:val="0023712A"/>
    <w:rsid w:val="00237C5F"/>
    <w:rsid w:val="002403F6"/>
    <w:rsid w:val="002413A3"/>
    <w:rsid w:val="00243F79"/>
    <w:rsid w:val="00246289"/>
    <w:rsid w:val="00246E99"/>
    <w:rsid w:val="00247C07"/>
    <w:rsid w:val="00254592"/>
    <w:rsid w:val="0025538D"/>
    <w:rsid w:val="00262074"/>
    <w:rsid w:val="00274026"/>
    <w:rsid w:val="00275FF2"/>
    <w:rsid w:val="00277743"/>
    <w:rsid w:val="00283A16"/>
    <w:rsid w:val="00284617"/>
    <w:rsid w:val="002867DE"/>
    <w:rsid w:val="00287EB4"/>
    <w:rsid w:val="00291BFC"/>
    <w:rsid w:val="00296345"/>
    <w:rsid w:val="00296A5A"/>
    <w:rsid w:val="002A0132"/>
    <w:rsid w:val="002A1096"/>
    <w:rsid w:val="002B0FA3"/>
    <w:rsid w:val="002B230B"/>
    <w:rsid w:val="002B4DFE"/>
    <w:rsid w:val="002B5E10"/>
    <w:rsid w:val="002D03FA"/>
    <w:rsid w:val="002D5C2B"/>
    <w:rsid w:val="002D6FE8"/>
    <w:rsid w:val="002D744F"/>
    <w:rsid w:val="002E3DC7"/>
    <w:rsid w:val="002E6160"/>
    <w:rsid w:val="002F1351"/>
    <w:rsid w:val="002F1F71"/>
    <w:rsid w:val="002F257D"/>
    <w:rsid w:val="002F2AFC"/>
    <w:rsid w:val="002F390B"/>
    <w:rsid w:val="002F4A16"/>
    <w:rsid w:val="002F5825"/>
    <w:rsid w:val="002F5EF2"/>
    <w:rsid w:val="002F65EA"/>
    <w:rsid w:val="00304B34"/>
    <w:rsid w:val="00304CAE"/>
    <w:rsid w:val="00304FB4"/>
    <w:rsid w:val="00306709"/>
    <w:rsid w:val="00307262"/>
    <w:rsid w:val="00307E91"/>
    <w:rsid w:val="00312B49"/>
    <w:rsid w:val="003133DD"/>
    <w:rsid w:val="0031349A"/>
    <w:rsid w:val="00315383"/>
    <w:rsid w:val="0031656A"/>
    <w:rsid w:val="0031747C"/>
    <w:rsid w:val="00324169"/>
    <w:rsid w:val="003264D1"/>
    <w:rsid w:val="00331862"/>
    <w:rsid w:val="00336B61"/>
    <w:rsid w:val="003371DA"/>
    <w:rsid w:val="00341AC4"/>
    <w:rsid w:val="00344555"/>
    <w:rsid w:val="00345250"/>
    <w:rsid w:val="003459F3"/>
    <w:rsid w:val="003472A9"/>
    <w:rsid w:val="00351680"/>
    <w:rsid w:val="00351C19"/>
    <w:rsid w:val="00352BC4"/>
    <w:rsid w:val="003734F7"/>
    <w:rsid w:val="00373A3B"/>
    <w:rsid w:val="00376D79"/>
    <w:rsid w:val="00377463"/>
    <w:rsid w:val="00377B86"/>
    <w:rsid w:val="00381183"/>
    <w:rsid w:val="00381A88"/>
    <w:rsid w:val="003865F5"/>
    <w:rsid w:val="00386EE4"/>
    <w:rsid w:val="00387131"/>
    <w:rsid w:val="00393F63"/>
    <w:rsid w:val="00394731"/>
    <w:rsid w:val="00395B9A"/>
    <w:rsid w:val="00396D9E"/>
    <w:rsid w:val="003A029D"/>
    <w:rsid w:val="003A1107"/>
    <w:rsid w:val="003A491F"/>
    <w:rsid w:val="003A5EC0"/>
    <w:rsid w:val="003A6196"/>
    <w:rsid w:val="003A6BB5"/>
    <w:rsid w:val="003B2A3B"/>
    <w:rsid w:val="003B446F"/>
    <w:rsid w:val="003B6807"/>
    <w:rsid w:val="003B70DC"/>
    <w:rsid w:val="003C1962"/>
    <w:rsid w:val="003C2283"/>
    <w:rsid w:val="003C28CB"/>
    <w:rsid w:val="003C5728"/>
    <w:rsid w:val="003D1D92"/>
    <w:rsid w:val="003D5F02"/>
    <w:rsid w:val="003D7335"/>
    <w:rsid w:val="003E47FF"/>
    <w:rsid w:val="003F295A"/>
    <w:rsid w:val="003F31CB"/>
    <w:rsid w:val="003F3BA2"/>
    <w:rsid w:val="003F3E2F"/>
    <w:rsid w:val="0040059F"/>
    <w:rsid w:val="00402132"/>
    <w:rsid w:val="004077C3"/>
    <w:rsid w:val="00407956"/>
    <w:rsid w:val="00417BC4"/>
    <w:rsid w:val="00422D31"/>
    <w:rsid w:val="004331E0"/>
    <w:rsid w:val="00433FBE"/>
    <w:rsid w:val="00434C28"/>
    <w:rsid w:val="00434F53"/>
    <w:rsid w:val="00437B21"/>
    <w:rsid w:val="004403E7"/>
    <w:rsid w:val="004433B3"/>
    <w:rsid w:val="00444B70"/>
    <w:rsid w:val="00451DF3"/>
    <w:rsid w:val="00452115"/>
    <w:rsid w:val="00457D49"/>
    <w:rsid w:val="00460F42"/>
    <w:rsid w:val="00470FC6"/>
    <w:rsid w:val="004719DC"/>
    <w:rsid w:val="004850D2"/>
    <w:rsid w:val="004852C9"/>
    <w:rsid w:val="00485D38"/>
    <w:rsid w:val="0049309E"/>
    <w:rsid w:val="004941E5"/>
    <w:rsid w:val="004A1470"/>
    <w:rsid w:val="004A2AC4"/>
    <w:rsid w:val="004A3606"/>
    <w:rsid w:val="004A55DE"/>
    <w:rsid w:val="004A5693"/>
    <w:rsid w:val="004B02C5"/>
    <w:rsid w:val="004B13DB"/>
    <w:rsid w:val="004B338F"/>
    <w:rsid w:val="004B480E"/>
    <w:rsid w:val="004B5F38"/>
    <w:rsid w:val="004B67E7"/>
    <w:rsid w:val="004C5DF6"/>
    <w:rsid w:val="004D18A8"/>
    <w:rsid w:val="004D2C48"/>
    <w:rsid w:val="004D3B59"/>
    <w:rsid w:val="004E0050"/>
    <w:rsid w:val="004E1157"/>
    <w:rsid w:val="004E11FC"/>
    <w:rsid w:val="004E2673"/>
    <w:rsid w:val="004E6719"/>
    <w:rsid w:val="004F0416"/>
    <w:rsid w:val="004F1E3A"/>
    <w:rsid w:val="004F32DB"/>
    <w:rsid w:val="004F39DB"/>
    <w:rsid w:val="004F430A"/>
    <w:rsid w:val="004F5CFE"/>
    <w:rsid w:val="004F66B7"/>
    <w:rsid w:val="00503283"/>
    <w:rsid w:val="00503732"/>
    <w:rsid w:val="005101C9"/>
    <w:rsid w:val="00517B16"/>
    <w:rsid w:val="00521CAC"/>
    <w:rsid w:val="0052240B"/>
    <w:rsid w:val="005248E6"/>
    <w:rsid w:val="00526975"/>
    <w:rsid w:val="005272A3"/>
    <w:rsid w:val="00527C5F"/>
    <w:rsid w:val="005512CB"/>
    <w:rsid w:val="00553FE3"/>
    <w:rsid w:val="0056099F"/>
    <w:rsid w:val="005672ED"/>
    <w:rsid w:val="00574546"/>
    <w:rsid w:val="00582C6C"/>
    <w:rsid w:val="00595DDC"/>
    <w:rsid w:val="005A04E2"/>
    <w:rsid w:val="005A11A5"/>
    <w:rsid w:val="005A1C11"/>
    <w:rsid w:val="005A244E"/>
    <w:rsid w:val="005A35CA"/>
    <w:rsid w:val="005A3A99"/>
    <w:rsid w:val="005B0ACB"/>
    <w:rsid w:val="005B3233"/>
    <w:rsid w:val="005B3F72"/>
    <w:rsid w:val="005C34D1"/>
    <w:rsid w:val="005C6898"/>
    <w:rsid w:val="005C7D1B"/>
    <w:rsid w:val="005D6E6F"/>
    <w:rsid w:val="005F2872"/>
    <w:rsid w:val="00605E8A"/>
    <w:rsid w:val="0060724F"/>
    <w:rsid w:val="006072A0"/>
    <w:rsid w:val="006102C3"/>
    <w:rsid w:val="006153B2"/>
    <w:rsid w:val="00616CB2"/>
    <w:rsid w:val="0062476D"/>
    <w:rsid w:val="00625693"/>
    <w:rsid w:val="00626ADD"/>
    <w:rsid w:val="006334B2"/>
    <w:rsid w:val="006349CB"/>
    <w:rsid w:val="00635CAD"/>
    <w:rsid w:val="00642C12"/>
    <w:rsid w:val="00646C41"/>
    <w:rsid w:val="0065360C"/>
    <w:rsid w:val="006537CF"/>
    <w:rsid w:val="00664EAE"/>
    <w:rsid w:val="00667113"/>
    <w:rsid w:val="0067224F"/>
    <w:rsid w:val="00674398"/>
    <w:rsid w:val="00675813"/>
    <w:rsid w:val="00675BF7"/>
    <w:rsid w:val="00676100"/>
    <w:rsid w:val="00676214"/>
    <w:rsid w:val="006800DB"/>
    <w:rsid w:val="00680DDC"/>
    <w:rsid w:val="00681902"/>
    <w:rsid w:val="00683BCC"/>
    <w:rsid w:val="006855D2"/>
    <w:rsid w:val="0068750B"/>
    <w:rsid w:val="00690F9F"/>
    <w:rsid w:val="00691109"/>
    <w:rsid w:val="00691CAD"/>
    <w:rsid w:val="006926E7"/>
    <w:rsid w:val="00693095"/>
    <w:rsid w:val="006A4948"/>
    <w:rsid w:val="006A5115"/>
    <w:rsid w:val="006A752E"/>
    <w:rsid w:val="006B0270"/>
    <w:rsid w:val="006B064E"/>
    <w:rsid w:val="006B17D9"/>
    <w:rsid w:val="006B23A4"/>
    <w:rsid w:val="006B2FD1"/>
    <w:rsid w:val="006B4C63"/>
    <w:rsid w:val="006C22EA"/>
    <w:rsid w:val="006D0540"/>
    <w:rsid w:val="006D34A4"/>
    <w:rsid w:val="006D3DF8"/>
    <w:rsid w:val="006D3F5D"/>
    <w:rsid w:val="006E0ADC"/>
    <w:rsid w:val="006E4B2B"/>
    <w:rsid w:val="006E4E5C"/>
    <w:rsid w:val="006F2222"/>
    <w:rsid w:val="006F2445"/>
    <w:rsid w:val="00711A29"/>
    <w:rsid w:val="0071400C"/>
    <w:rsid w:val="00714286"/>
    <w:rsid w:val="00716847"/>
    <w:rsid w:val="007260DE"/>
    <w:rsid w:val="0073223F"/>
    <w:rsid w:val="00733759"/>
    <w:rsid w:val="007347B9"/>
    <w:rsid w:val="00742E3B"/>
    <w:rsid w:val="00750818"/>
    <w:rsid w:val="007514B0"/>
    <w:rsid w:val="00751FE5"/>
    <w:rsid w:val="007559B2"/>
    <w:rsid w:val="00755E72"/>
    <w:rsid w:val="007575E0"/>
    <w:rsid w:val="0076278E"/>
    <w:rsid w:val="0077310F"/>
    <w:rsid w:val="007759C2"/>
    <w:rsid w:val="00784817"/>
    <w:rsid w:val="0078675D"/>
    <w:rsid w:val="00791E63"/>
    <w:rsid w:val="00791FA1"/>
    <w:rsid w:val="00793CF1"/>
    <w:rsid w:val="00793F12"/>
    <w:rsid w:val="00796FF0"/>
    <w:rsid w:val="007973D7"/>
    <w:rsid w:val="007974D2"/>
    <w:rsid w:val="007A0656"/>
    <w:rsid w:val="007A2C06"/>
    <w:rsid w:val="007A2D8D"/>
    <w:rsid w:val="007B225D"/>
    <w:rsid w:val="007B3DC5"/>
    <w:rsid w:val="007B4769"/>
    <w:rsid w:val="007C08C4"/>
    <w:rsid w:val="007C302A"/>
    <w:rsid w:val="007C4D0C"/>
    <w:rsid w:val="007C53B4"/>
    <w:rsid w:val="007C5695"/>
    <w:rsid w:val="007D5E82"/>
    <w:rsid w:val="007D7FD3"/>
    <w:rsid w:val="007E04A3"/>
    <w:rsid w:val="007E1366"/>
    <w:rsid w:val="007E79CE"/>
    <w:rsid w:val="007F3BF2"/>
    <w:rsid w:val="007F56B8"/>
    <w:rsid w:val="007F667C"/>
    <w:rsid w:val="007F7F26"/>
    <w:rsid w:val="00803758"/>
    <w:rsid w:val="00803C5F"/>
    <w:rsid w:val="0080596D"/>
    <w:rsid w:val="00810B1D"/>
    <w:rsid w:val="00813D24"/>
    <w:rsid w:val="00814006"/>
    <w:rsid w:val="00820377"/>
    <w:rsid w:val="008214B9"/>
    <w:rsid w:val="00823423"/>
    <w:rsid w:val="0082746C"/>
    <w:rsid w:val="00827A10"/>
    <w:rsid w:val="00831922"/>
    <w:rsid w:val="00832508"/>
    <w:rsid w:val="00834724"/>
    <w:rsid w:val="008377F0"/>
    <w:rsid w:val="008405A2"/>
    <w:rsid w:val="00847AA7"/>
    <w:rsid w:val="00850DF2"/>
    <w:rsid w:val="00862C82"/>
    <w:rsid w:val="00864113"/>
    <w:rsid w:val="00864C25"/>
    <w:rsid w:val="00865655"/>
    <w:rsid w:val="008671F7"/>
    <w:rsid w:val="008703FA"/>
    <w:rsid w:val="0087366B"/>
    <w:rsid w:val="00874063"/>
    <w:rsid w:val="0087567C"/>
    <w:rsid w:val="00876E6A"/>
    <w:rsid w:val="008817CA"/>
    <w:rsid w:val="00882DE9"/>
    <w:rsid w:val="00883347"/>
    <w:rsid w:val="00890FF8"/>
    <w:rsid w:val="00891CCD"/>
    <w:rsid w:val="0089269F"/>
    <w:rsid w:val="0089519A"/>
    <w:rsid w:val="00895450"/>
    <w:rsid w:val="00896544"/>
    <w:rsid w:val="00897105"/>
    <w:rsid w:val="008A09B6"/>
    <w:rsid w:val="008A0A9C"/>
    <w:rsid w:val="008A0C41"/>
    <w:rsid w:val="008A11A2"/>
    <w:rsid w:val="008A598B"/>
    <w:rsid w:val="008A6B8A"/>
    <w:rsid w:val="008B13C7"/>
    <w:rsid w:val="008B3799"/>
    <w:rsid w:val="008B4DE2"/>
    <w:rsid w:val="008B519F"/>
    <w:rsid w:val="008B5790"/>
    <w:rsid w:val="008B7451"/>
    <w:rsid w:val="008C1379"/>
    <w:rsid w:val="008C381E"/>
    <w:rsid w:val="008C5320"/>
    <w:rsid w:val="008C6E4A"/>
    <w:rsid w:val="008C6F8F"/>
    <w:rsid w:val="008D12FF"/>
    <w:rsid w:val="008D42C5"/>
    <w:rsid w:val="008D55FA"/>
    <w:rsid w:val="008E1A7E"/>
    <w:rsid w:val="008E7B39"/>
    <w:rsid w:val="008F2A71"/>
    <w:rsid w:val="008F36D7"/>
    <w:rsid w:val="0090139A"/>
    <w:rsid w:val="0090271A"/>
    <w:rsid w:val="00903A6B"/>
    <w:rsid w:val="00903A6E"/>
    <w:rsid w:val="00907C20"/>
    <w:rsid w:val="00914A2E"/>
    <w:rsid w:val="00915635"/>
    <w:rsid w:val="00916A8D"/>
    <w:rsid w:val="00917388"/>
    <w:rsid w:val="00924FFD"/>
    <w:rsid w:val="0093362C"/>
    <w:rsid w:val="009338AC"/>
    <w:rsid w:val="00937655"/>
    <w:rsid w:val="00937B8F"/>
    <w:rsid w:val="0094531C"/>
    <w:rsid w:val="0094565D"/>
    <w:rsid w:val="00946461"/>
    <w:rsid w:val="00950849"/>
    <w:rsid w:val="00951693"/>
    <w:rsid w:val="00951DEB"/>
    <w:rsid w:val="00952A28"/>
    <w:rsid w:val="00957CB4"/>
    <w:rsid w:val="0096105D"/>
    <w:rsid w:val="00962668"/>
    <w:rsid w:val="009655FF"/>
    <w:rsid w:val="009720E2"/>
    <w:rsid w:val="009759DC"/>
    <w:rsid w:val="00976B8E"/>
    <w:rsid w:val="009815EB"/>
    <w:rsid w:val="00990546"/>
    <w:rsid w:val="0099281C"/>
    <w:rsid w:val="00994C97"/>
    <w:rsid w:val="00995B6D"/>
    <w:rsid w:val="00996440"/>
    <w:rsid w:val="00996AC9"/>
    <w:rsid w:val="00997F2A"/>
    <w:rsid w:val="009A49A4"/>
    <w:rsid w:val="009A5AB7"/>
    <w:rsid w:val="009A6072"/>
    <w:rsid w:val="009B13AC"/>
    <w:rsid w:val="009B3545"/>
    <w:rsid w:val="009B3B5F"/>
    <w:rsid w:val="009C08B0"/>
    <w:rsid w:val="009C0F74"/>
    <w:rsid w:val="009C1934"/>
    <w:rsid w:val="009C46E6"/>
    <w:rsid w:val="009D20AB"/>
    <w:rsid w:val="009D22CC"/>
    <w:rsid w:val="009D26FD"/>
    <w:rsid w:val="009D3CB8"/>
    <w:rsid w:val="009D5240"/>
    <w:rsid w:val="009D6B98"/>
    <w:rsid w:val="009E1365"/>
    <w:rsid w:val="009E2C01"/>
    <w:rsid w:val="009E42A6"/>
    <w:rsid w:val="009E7465"/>
    <w:rsid w:val="009F5058"/>
    <w:rsid w:val="00A00A92"/>
    <w:rsid w:val="00A00B2D"/>
    <w:rsid w:val="00A0128E"/>
    <w:rsid w:val="00A035C5"/>
    <w:rsid w:val="00A06F47"/>
    <w:rsid w:val="00A07C4E"/>
    <w:rsid w:val="00A10CD5"/>
    <w:rsid w:val="00A1109B"/>
    <w:rsid w:val="00A14583"/>
    <w:rsid w:val="00A15182"/>
    <w:rsid w:val="00A17BE8"/>
    <w:rsid w:val="00A24D58"/>
    <w:rsid w:val="00A26CD7"/>
    <w:rsid w:val="00A3122C"/>
    <w:rsid w:val="00A34A90"/>
    <w:rsid w:val="00A376CA"/>
    <w:rsid w:val="00A45EEB"/>
    <w:rsid w:val="00A50CDC"/>
    <w:rsid w:val="00A5163B"/>
    <w:rsid w:val="00A51B3F"/>
    <w:rsid w:val="00A546BC"/>
    <w:rsid w:val="00A550C7"/>
    <w:rsid w:val="00A60DD7"/>
    <w:rsid w:val="00A642F6"/>
    <w:rsid w:val="00A70885"/>
    <w:rsid w:val="00A8689B"/>
    <w:rsid w:val="00A906DC"/>
    <w:rsid w:val="00A916C3"/>
    <w:rsid w:val="00A9274D"/>
    <w:rsid w:val="00AA0CB9"/>
    <w:rsid w:val="00AA4FAC"/>
    <w:rsid w:val="00AB02B2"/>
    <w:rsid w:val="00AB1028"/>
    <w:rsid w:val="00AB1431"/>
    <w:rsid w:val="00AC000B"/>
    <w:rsid w:val="00AC0E3F"/>
    <w:rsid w:val="00AC15D8"/>
    <w:rsid w:val="00AC1D6E"/>
    <w:rsid w:val="00AC7B63"/>
    <w:rsid w:val="00AD424B"/>
    <w:rsid w:val="00AD4A42"/>
    <w:rsid w:val="00AD541B"/>
    <w:rsid w:val="00AD5815"/>
    <w:rsid w:val="00AD5B2B"/>
    <w:rsid w:val="00AD5FE7"/>
    <w:rsid w:val="00AE0BA2"/>
    <w:rsid w:val="00AE1016"/>
    <w:rsid w:val="00AE36FA"/>
    <w:rsid w:val="00AE38B1"/>
    <w:rsid w:val="00AE3C56"/>
    <w:rsid w:val="00AF0B34"/>
    <w:rsid w:val="00AF1351"/>
    <w:rsid w:val="00AF1CE0"/>
    <w:rsid w:val="00AF355E"/>
    <w:rsid w:val="00AF37BA"/>
    <w:rsid w:val="00AF5AC2"/>
    <w:rsid w:val="00AF76B0"/>
    <w:rsid w:val="00B10087"/>
    <w:rsid w:val="00B146ED"/>
    <w:rsid w:val="00B15446"/>
    <w:rsid w:val="00B20D00"/>
    <w:rsid w:val="00B2742F"/>
    <w:rsid w:val="00B3192A"/>
    <w:rsid w:val="00B31C2F"/>
    <w:rsid w:val="00B31EEA"/>
    <w:rsid w:val="00B32276"/>
    <w:rsid w:val="00B3296D"/>
    <w:rsid w:val="00B34B4E"/>
    <w:rsid w:val="00B37B9B"/>
    <w:rsid w:val="00B4316F"/>
    <w:rsid w:val="00B43DEA"/>
    <w:rsid w:val="00B5335E"/>
    <w:rsid w:val="00B55C51"/>
    <w:rsid w:val="00B563B0"/>
    <w:rsid w:val="00B61267"/>
    <w:rsid w:val="00B6137E"/>
    <w:rsid w:val="00B64411"/>
    <w:rsid w:val="00B67AF6"/>
    <w:rsid w:val="00B72212"/>
    <w:rsid w:val="00B72294"/>
    <w:rsid w:val="00B73E0C"/>
    <w:rsid w:val="00B75A47"/>
    <w:rsid w:val="00B82D18"/>
    <w:rsid w:val="00B92CD9"/>
    <w:rsid w:val="00B96B85"/>
    <w:rsid w:val="00B97A84"/>
    <w:rsid w:val="00BA2EA2"/>
    <w:rsid w:val="00BA7693"/>
    <w:rsid w:val="00BA7AA4"/>
    <w:rsid w:val="00BB12B8"/>
    <w:rsid w:val="00BB3B21"/>
    <w:rsid w:val="00BC0630"/>
    <w:rsid w:val="00BC2DC0"/>
    <w:rsid w:val="00BC6775"/>
    <w:rsid w:val="00BD4B86"/>
    <w:rsid w:val="00BE693E"/>
    <w:rsid w:val="00BF6FE5"/>
    <w:rsid w:val="00C002AE"/>
    <w:rsid w:val="00C02B62"/>
    <w:rsid w:val="00C03D26"/>
    <w:rsid w:val="00C05878"/>
    <w:rsid w:val="00C05F1B"/>
    <w:rsid w:val="00C060DD"/>
    <w:rsid w:val="00C07A61"/>
    <w:rsid w:val="00C124F0"/>
    <w:rsid w:val="00C13D5E"/>
    <w:rsid w:val="00C14DD0"/>
    <w:rsid w:val="00C23596"/>
    <w:rsid w:val="00C24408"/>
    <w:rsid w:val="00C4191C"/>
    <w:rsid w:val="00C445E9"/>
    <w:rsid w:val="00C46A37"/>
    <w:rsid w:val="00C47B59"/>
    <w:rsid w:val="00C47EB9"/>
    <w:rsid w:val="00C50D41"/>
    <w:rsid w:val="00C51149"/>
    <w:rsid w:val="00C51EAF"/>
    <w:rsid w:val="00C52775"/>
    <w:rsid w:val="00C53BAE"/>
    <w:rsid w:val="00C5463B"/>
    <w:rsid w:val="00C54FB4"/>
    <w:rsid w:val="00C57F4A"/>
    <w:rsid w:val="00C60C59"/>
    <w:rsid w:val="00C6321C"/>
    <w:rsid w:val="00C64E52"/>
    <w:rsid w:val="00C67CF1"/>
    <w:rsid w:val="00C71010"/>
    <w:rsid w:val="00C726AE"/>
    <w:rsid w:val="00C72FEB"/>
    <w:rsid w:val="00C73A97"/>
    <w:rsid w:val="00C93856"/>
    <w:rsid w:val="00C93C14"/>
    <w:rsid w:val="00C944DD"/>
    <w:rsid w:val="00CA02A7"/>
    <w:rsid w:val="00CA3454"/>
    <w:rsid w:val="00CB3480"/>
    <w:rsid w:val="00CB3C3E"/>
    <w:rsid w:val="00CB525D"/>
    <w:rsid w:val="00CB696D"/>
    <w:rsid w:val="00CD00EA"/>
    <w:rsid w:val="00CD11B4"/>
    <w:rsid w:val="00CD3304"/>
    <w:rsid w:val="00CD6D9C"/>
    <w:rsid w:val="00CE55CB"/>
    <w:rsid w:val="00CE6C67"/>
    <w:rsid w:val="00CE702A"/>
    <w:rsid w:val="00CE7468"/>
    <w:rsid w:val="00CF2C1C"/>
    <w:rsid w:val="00CF37C4"/>
    <w:rsid w:val="00CF4EE2"/>
    <w:rsid w:val="00CF655B"/>
    <w:rsid w:val="00CF6BA4"/>
    <w:rsid w:val="00CF7692"/>
    <w:rsid w:val="00D15327"/>
    <w:rsid w:val="00D16B2B"/>
    <w:rsid w:val="00D17669"/>
    <w:rsid w:val="00D23361"/>
    <w:rsid w:val="00D31C74"/>
    <w:rsid w:val="00D32B6B"/>
    <w:rsid w:val="00D37B63"/>
    <w:rsid w:val="00D37C69"/>
    <w:rsid w:val="00D43CE1"/>
    <w:rsid w:val="00D46FCC"/>
    <w:rsid w:val="00D51795"/>
    <w:rsid w:val="00D5280E"/>
    <w:rsid w:val="00D6000A"/>
    <w:rsid w:val="00D6071E"/>
    <w:rsid w:val="00D72741"/>
    <w:rsid w:val="00D75E06"/>
    <w:rsid w:val="00D767BC"/>
    <w:rsid w:val="00D8125A"/>
    <w:rsid w:val="00D81887"/>
    <w:rsid w:val="00D83E2D"/>
    <w:rsid w:val="00D85A36"/>
    <w:rsid w:val="00D8754F"/>
    <w:rsid w:val="00D9155D"/>
    <w:rsid w:val="00D9652B"/>
    <w:rsid w:val="00D9771E"/>
    <w:rsid w:val="00DA1B0A"/>
    <w:rsid w:val="00DA78BC"/>
    <w:rsid w:val="00DA79B9"/>
    <w:rsid w:val="00DB55B2"/>
    <w:rsid w:val="00DB7333"/>
    <w:rsid w:val="00DC2AF6"/>
    <w:rsid w:val="00DC4BA0"/>
    <w:rsid w:val="00DC716F"/>
    <w:rsid w:val="00DD052F"/>
    <w:rsid w:val="00DD1733"/>
    <w:rsid w:val="00DD3866"/>
    <w:rsid w:val="00DD5197"/>
    <w:rsid w:val="00DD7049"/>
    <w:rsid w:val="00DE06A1"/>
    <w:rsid w:val="00DE5A92"/>
    <w:rsid w:val="00DF03A4"/>
    <w:rsid w:val="00DF1C08"/>
    <w:rsid w:val="00DF4A14"/>
    <w:rsid w:val="00DF5811"/>
    <w:rsid w:val="00E00ECF"/>
    <w:rsid w:val="00E02216"/>
    <w:rsid w:val="00E205CA"/>
    <w:rsid w:val="00E20900"/>
    <w:rsid w:val="00E20BDA"/>
    <w:rsid w:val="00E224C3"/>
    <w:rsid w:val="00E30666"/>
    <w:rsid w:val="00E31390"/>
    <w:rsid w:val="00E357CA"/>
    <w:rsid w:val="00E3789C"/>
    <w:rsid w:val="00E535BA"/>
    <w:rsid w:val="00E65A88"/>
    <w:rsid w:val="00E7091D"/>
    <w:rsid w:val="00E70BD2"/>
    <w:rsid w:val="00E70C7C"/>
    <w:rsid w:val="00E75177"/>
    <w:rsid w:val="00E769E0"/>
    <w:rsid w:val="00E76A1F"/>
    <w:rsid w:val="00E76B70"/>
    <w:rsid w:val="00E83B86"/>
    <w:rsid w:val="00E84CAF"/>
    <w:rsid w:val="00E85126"/>
    <w:rsid w:val="00E856D4"/>
    <w:rsid w:val="00E907C4"/>
    <w:rsid w:val="00E930A4"/>
    <w:rsid w:val="00EA3C28"/>
    <w:rsid w:val="00EA49F0"/>
    <w:rsid w:val="00EA6D26"/>
    <w:rsid w:val="00EB0804"/>
    <w:rsid w:val="00EB0B19"/>
    <w:rsid w:val="00EB1438"/>
    <w:rsid w:val="00EB18E3"/>
    <w:rsid w:val="00EB74A8"/>
    <w:rsid w:val="00EB75C1"/>
    <w:rsid w:val="00EC07D4"/>
    <w:rsid w:val="00EC3698"/>
    <w:rsid w:val="00EC4429"/>
    <w:rsid w:val="00EC7BC9"/>
    <w:rsid w:val="00ED12DD"/>
    <w:rsid w:val="00ED1581"/>
    <w:rsid w:val="00ED1EFC"/>
    <w:rsid w:val="00ED1F2E"/>
    <w:rsid w:val="00EE0026"/>
    <w:rsid w:val="00EF41B5"/>
    <w:rsid w:val="00F02053"/>
    <w:rsid w:val="00F02F6B"/>
    <w:rsid w:val="00F04654"/>
    <w:rsid w:val="00F04D22"/>
    <w:rsid w:val="00F13B1D"/>
    <w:rsid w:val="00F14655"/>
    <w:rsid w:val="00F15955"/>
    <w:rsid w:val="00F2252A"/>
    <w:rsid w:val="00F25585"/>
    <w:rsid w:val="00F27097"/>
    <w:rsid w:val="00F30A21"/>
    <w:rsid w:val="00F32402"/>
    <w:rsid w:val="00F37BC2"/>
    <w:rsid w:val="00F42375"/>
    <w:rsid w:val="00F45D84"/>
    <w:rsid w:val="00F47238"/>
    <w:rsid w:val="00F4784F"/>
    <w:rsid w:val="00F51F58"/>
    <w:rsid w:val="00F52173"/>
    <w:rsid w:val="00F57669"/>
    <w:rsid w:val="00F602F6"/>
    <w:rsid w:val="00F60658"/>
    <w:rsid w:val="00F65B25"/>
    <w:rsid w:val="00F66208"/>
    <w:rsid w:val="00F7267C"/>
    <w:rsid w:val="00F730EA"/>
    <w:rsid w:val="00F8007D"/>
    <w:rsid w:val="00F81E35"/>
    <w:rsid w:val="00F840BC"/>
    <w:rsid w:val="00F852D6"/>
    <w:rsid w:val="00F879CA"/>
    <w:rsid w:val="00F9003F"/>
    <w:rsid w:val="00F92686"/>
    <w:rsid w:val="00F9390C"/>
    <w:rsid w:val="00F94D2A"/>
    <w:rsid w:val="00F961D6"/>
    <w:rsid w:val="00FA3E5E"/>
    <w:rsid w:val="00FA5F13"/>
    <w:rsid w:val="00FA75D8"/>
    <w:rsid w:val="00FB04DB"/>
    <w:rsid w:val="00FB053C"/>
    <w:rsid w:val="00FB11AD"/>
    <w:rsid w:val="00FB31DD"/>
    <w:rsid w:val="00FB4024"/>
    <w:rsid w:val="00FB5D6B"/>
    <w:rsid w:val="00FB7631"/>
    <w:rsid w:val="00FB78D5"/>
    <w:rsid w:val="00FC0F98"/>
    <w:rsid w:val="00FC692B"/>
    <w:rsid w:val="00FC6B05"/>
    <w:rsid w:val="00FD1010"/>
    <w:rsid w:val="00FD13BE"/>
    <w:rsid w:val="00FD661C"/>
    <w:rsid w:val="00FE4E03"/>
    <w:rsid w:val="00FE5B87"/>
    <w:rsid w:val="00FE677F"/>
    <w:rsid w:val="00FF1B72"/>
    <w:rsid w:val="00FF1BC4"/>
    <w:rsid w:val="00FF65AA"/>
    <w:rsid w:val="00FF6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6DC"/>
    <w:rPr>
      <w:sz w:val="24"/>
      <w:szCs w:val="24"/>
      <w:lang w:val="en-US" w:eastAsia="en-US"/>
    </w:rPr>
  </w:style>
  <w:style w:type="paragraph" w:styleId="Heading1">
    <w:name w:val="heading 1"/>
    <w:basedOn w:val="Normal"/>
    <w:next w:val="Normal"/>
    <w:qFormat/>
    <w:rsid w:val="00A10CD5"/>
    <w:pPr>
      <w:keepNext/>
      <w:spacing w:before="240" w:after="60"/>
      <w:outlineLvl w:val="0"/>
    </w:pPr>
    <w:rPr>
      <w:rFonts w:ascii="Arial" w:hAnsi="Arial" w:cs="Arial"/>
      <w:b/>
      <w:bCs/>
      <w:kern w:val="32"/>
      <w:sz w:val="32"/>
      <w:szCs w:val="32"/>
    </w:rPr>
  </w:style>
  <w:style w:type="paragraph" w:styleId="Heading2">
    <w:name w:val="heading 2"/>
    <w:basedOn w:val="Normal"/>
    <w:qFormat/>
    <w:pPr>
      <w:spacing w:before="100" w:beforeAutospacing="1" w:after="100" w:afterAutospacing="1"/>
      <w:outlineLvl w:val="1"/>
    </w:pPr>
    <w:rPr>
      <w:rFonts w:ascii="Arial Unicode MS" w:eastAsia="Arial Unicode MS" w:hAnsi="Arial Unicode MS" w:cs="Arial Unicode MS"/>
      <w:b/>
      <w:bCs/>
      <w:color w:val="000000"/>
      <w:sz w:val="36"/>
      <w:szCs w:val="36"/>
    </w:rPr>
  </w:style>
  <w:style w:type="paragraph" w:styleId="Heading3">
    <w:name w:val="heading 3"/>
    <w:basedOn w:val="Normal"/>
    <w:next w:val="Normal"/>
    <w:qFormat/>
    <w:rsid w:val="00A10CD5"/>
    <w:pPr>
      <w:keepNext/>
      <w:spacing w:before="240" w:after="60"/>
      <w:outlineLvl w:val="2"/>
    </w:pPr>
    <w:rPr>
      <w:rFonts w:ascii="Arial" w:hAnsi="Arial" w:cs="Arial"/>
      <w:b/>
      <w:bCs/>
      <w:sz w:val="26"/>
      <w:szCs w:val="26"/>
    </w:rPr>
  </w:style>
  <w:style w:type="paragraph" w:styleId="Heading4">
    <w:name w:val="heading 4"/>
    <w:basedOn w:val="Normal"/>
    <w:next w:val="Normal"/>
    <w:qFormat/>
    <w:rsid w:val="00A10CD5"/>
    <w:pPr>
      <w:keepNext/>
      <w:spacing w:before="240" w:after="60"/>
      <w:outlineLvl w:val="3"/>
    </w:pPr>
    <w:rPr>
      <w:b/>
      <w:bCs/>
      <w:sz w:val="28"/>
      <w:szCs w:val="28"/>
    </w:rPr>
  </w:style>
  <w:style w:type="paragraph" w:styleId="Heading5">
    <w:name w:val="heading 5"/>
    <w:basedOn w:val="Normal"/>
    <w:next w:val="Normal"/>
    <w:qFormat/>
    <w:rsid w:val="00A10CD5"/>
    <w:pPr>
      <w:spacing w:before="240" w:after="60"/>
      <w:outlineLvl w:val="4"/>
    </w:pPr>
    <w:rPr>
      <w:b/>
      <w:bCs/>
      <w:i/>
      <w:iCs/>
      <w:sz w:val="26"/>
      <w:szCs w:val="26"/>
    </w:rPr>
  </w:style>
  <w:style w:type="paragraph" w:styleId="Heading6">
    <w:name w:val="heading 6"/>
    <w:basedOn w:val="Normal"/>
    <w:next w:val="Normal"/>
    <w:qFormat/>
    <w:rsid w:val="00A10CD5"/>
    <w:pPr>
      <w:spacing w:before="240" w:after="60"/>
      <w:outlineLvl w:val="5"/>
    </w:pPr>
    <w:rPr>
      <w:b/>
      <w:bCs/>
      <w:sz w:val="22"/>
      <w:szCs w:val="22"/>
    </w:rPr>
  </w:style>
  <w:style w:type="paragraph" w:styleId="Heading7">
    <w:name w:val="heading 7"/>
    <w:basedOn w:val="Normal"/>
    <w:next w:val="Normal"/>
    <w:qFormat/>
    <w:rsid w:val="00A10CD5"/>
    <w:pPr>
      <w:spacing w:before="240" w:after="60"/>
      <w:outlineLvl w:val="6"/>
    </w:pPr>
  </w:style>
  <w:style w:type="paragraph" w:styleId="Heading8">
    <w:name w:val="heading 8"/>
    <w:basedOn w:val="Normal"/>
    <w:next w:val="Normal"/>
    <w:qFormat/>
    <w:rsid w:val="00A10CD5"/>
    <w:pPr>
      <w:spacing w:before="240" w:after="60"/>
      <w:outlineLvl w:val="7"/>
    </w:pPr>
    <w:rPr>
      <w:i/>
      <w:iCs/>
    </w:rPr>
  </w:style>
  <w:style w:type="paragraph" w:styleId="Heading9">
    <w:name w:val="heading 9"/>
    <w:basedOn w:val="Normal"/>
    <w:next w:val="Normal"/>
    <w:qFormat/>
    <w:rsid w:val="00A10CD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semiHidden/>
    <w:pPr>
      <w:pageBreakBefore/>
      <w:spacing w:after="360"/>
    </w:pPr>
    <w:rPr>
      <w:b/>
      <w:sz w:val="36"/>
      <w:szCs w:val="20"/>
    </w:rPr>
  </w:style>
  <w:style w:type="paragraph" w:styleId="Header">
    <w:name w:val="header"/>
    <w:basedOn w:val="Normal"/>
    <w:semiHidden/>
    <w:rsid w:val="00AA4FAC"/>
    <w:pPr>
      <w:tabs>
        <w:tab w:val="center" w:pos="4153"/>
        <w:tab w:val="right" w:pos="8306"/>
      </w:tabs>
    </w:pPr>
  </w:style>
  <w:style w:type="paragraph" w:styleId="Footer">
    <w:name w:val="footer"/>
    <w:basedOn w:val="Normal"/>
    <w:semiHidden/>
    <w:rsid w:val="006537CF"/>
    <w:pPr>
      <w:tabs>
        <w:tab w:val="left" w:pos="425"/>
      </w:tabs>
      <w:spacing w:after="40" w:line="220" w:lineRule="exact"/>
      <w:ind w:left="425" w:hanging="425"/>
    </w:pPr>
    <w:rPr>
      <w:rFonts w:ascii="Arial" w:hAnsi="Arial"/>
      <w:sz w:val="18"/>
    </w:rPr>
  </w:style>
  <w:style w:type="paragraph" w:customStyle="1" w:styleId="MainHeader">
    <w:name w:val="Main Header"/>
    <w:basedOn w:val="Normal"/>
    <w:semiHidden/>
    <w:rsid w:val="00EB75C1"/>
    <w:pPr>
      <w:widowControl w:val="0"/>
      <w:suppressAutoHyphens/>
      <w:autoSpaceDE w:val="0"/>
      <w:autoSpaceDN w:val="0"/>
      <w:adjustRightInd w:val="0"/>
      <w:spacing w:line="500" w:lineRule="atLeast"/>
      <w:jc w:val="center"/>
      <w:textAlignment w:val="center"/>
    </w:pPr>
    <w:rPr>
      <w:rFonts w:ascii="Arial" w:hAnsi="Arial" w:cs="ITC Stone Sans Std Medium"/>
      <w:color w:val="000000"/>
      <w:sz w:val="40"/>
      <w:szCs w:val="40"/>
      <w:lang w:eastAsia="en-GB"/>
    </w:rPr>
  </w:style>
  <w:style w:type="numbering" w:styleId="111111">
    <w:name w:val="Outline List 2"/>
    <w:basedOn w:val="NoList"/>
    <w:semiHidden/>
    <w:rsid w:val="00A10CD5"/>
    <w:pPr>
      <w:numPr>
        <w:numId w:val="13"/>
      </w:numPr>
    </w:pPr>
  </w:style>
  <w:style w:type="paragraph" w:customStyle="1" w:styleId="DocumentDate">
    <w:name w:val="Document Date"/>
    <w:next w:val="DocumentAuthors"/>
    <w:rsid w:val="000417C1"/>
    <w:pPr>
      <w:widowControl w:val="0"/>
      <w:tabs>
        <w:tab w:val="center" w:pos="4536"/>
        <w:tab w:val="right" w:pos="9356"/>
      </w:tabs>
      <w:spacing w:after="360"/>
      <w:ind w:left="-284"/>
    </w:pPr>
    <w:rPr>
      <w:rFonts w:ascii="Arial" w:hAnsi="Arial" w:cs="ITC Stone Sans Std Medium"/>
      <w:color w:val="000000"/>
    </w:rPr>
  </w:style>
  <w:style w:type="paragraph" w:customStyle="1" w:styleId="DocumentAuthors">
    <w:name w:val="Document Authors"/>
    <w:basedOn w:val="MainHeader"/>
    <w:next w:val="DocumentTitle"/>
    <w:rsid w:val="00EB75C1"/>
    <w:pPr>
      <w:widowControl/>
      <w:suppressAutoHyphens w:val="0"/>
      <w:autoSpaceDE/>
      <w:autoSpaceDN/>
      <w:adjustRightInd/>
      <w:spacing w:after="240"/>
      <w:textAlignment w:val="auto"/>
    </w:pPr>
    <w:rPr>
      <w:b/>
      <w:sz w:val="24"/>
      <w:szCs w:val="28"/>
    </w:rPr>
  </w:style>
  <w:style w:type="paragraph" w:customStyle="1" w:styleId="DocumentTitle">
    <w:name w:val="Document Title"/>
    <w:basedOn w:val="MainHeader"/>
    <w:next w:val="DocumentOutline"/>
    <w:rsid w:val="00307262"/>
    <w:pPr>
      <w:widowControl/>
      <w:suppressAutoHyphens w:val="0"/>
      <w:autoSpaceDE/>
      <w:autoSpaceDN/>
      <w:adjustRightInd/>
      <w:spacing w:after="720"/>
      <w:textAlignment w:val="auto"/>
    </w:pPr>
    <w:rPr>
      <w:sz w:val="64"/>
      <w:szCs w:val="64"/>
    </w:rPr>
  </w:style>
  <w:style w:type="paragraph" w:customStyle="1" w:styleId="DocumentOutline">
    <w:name w:val="Document Outline"/>
    <w:basedOn w:val="DocumentDate"/>
    <w:semiHidden/>
    <w:rsid w:val="00DB7333"/>
    <w:pPr>
      <w:spacing w:before="720" w:after="100" w:afterAutospacing="1" w:line="300" w:lineRule="atLeast"/>
    </w:pPr>
  </w:style>
  <w:style w:type="character" w:styleId="PageNumber">
    <w:name w:val="page number"/>
    <w:basedOn w:val="DefaultParagraphFont"/>
    <w:semiHidden/>
    <w:rsid w:val="006537CF"/>
    <w:rPr>
      <w:rFonts w:ascii="Arial" w:hAnsi="Arial"/>
      <w:sz w:val="18"/>
    </w:rPr>
  </w:style>
  <w:style w:type="paragraph" w:customStyle="1" w:styleId="DocumentFooter">
    <w:name w:val="Document Footer"/>
    <w:basedOn w:val="Header"/>
    <w:rsid w:val="00EB75C1"/>
    <w:pPr>
      <w:tabs>
        <w:tab w:val="clear" w:pos="4153"/>
        <w:tab w:val="clear" w:pos="8306"/>
        <w:tab w:val="center" w:pos="4536"/>
        <w:tab w:val="right" w:pos="9072"/>
      </w:tabs>
      <w:jc w:val="right"/>
    </w:pPr>
    <w:rPr>
      <w:rFonts w:ascii="Arial" w:hAnsi="Arial"/>
      <w:sz w:val="18"/>
    </w:rPr>
  </w:style>
  <w:style w:type="paragraph" w:customStyle="1" w:styleId="B1BodyText">
    <w:name w:val="B1 Body Text"/>
    <w:link w:val="B1BodyTextCharChar"/>
    <w:rsid w:val="00EB75C1"/>
    <w:pPr>
      <w:spacing w:before="120" w:after="180" w:line="320" w:lineRule="atLeast"/>
      <w:ind w:left="567"/>
    </w:pPr>
    <w:rPr>
      <w:rFonts w:ascii="Arial" w:hAnsi="Arial" w:cs="ITC Stone Sans Std Medium"/>
      <w:color w:val="000000"/>
      <w:sz w:val="22"/>
      <w:szCs w:val="24"/>
    </w:rPr>
  </w:style>
  <w:style w:type="paragraph" w:customStyle="1" w:styleId="Sub-Header01Bullets10mm">
    <w:name w:val="Sub-Header 01 Bullets 10mm"/>
    <w:basedOn w:val="Normal"/>
    <w:semiHidden/>
    <w:rsid w:val="005C6898"/>
    <w:pPr>
      <w:keepNext/>
      <w:widowControl w:val="0"/>
      <w:suppressAutoHyphens/>
      <w:autoSpaceDE w:val="0"/>
      <w:autoSpaceDN w:val="0"/>
      <w:adjustRightInd w:val="0"/>
      <w:spacing w:line="400" w:lineRule="atLeast"/>
      <w:ind w:left="567" w:hanging="567"/>
      <w:textAlignment w:val="center"/>
    </w:pPr>
    <w:rPr>
      <w:rFonts w:ascii="ITC Stone Sans Std Medium" w:hAnsi="ITC Stone Sans Std Medium" w:cs="ITC Stone Sans Std Medium"/>
      <w:color w:val="000000"/>
      <w:sz w:val="32"/>
      <w:szCs w:val="32"/>
      <w:lang w:eastAsia="en-GB"/>
    </w:rPr>
  </w:style>
  <w:style w:type="paragraph" w:customStyle="1" w:styleId="H1SectionHead">
    <w:name w:val="H1 Section Head"/>
    <w:next w:val="B1BodyText"/>
    <w:rsid w:val="00EB75C1"/>
    <w:pPr>
      <w:keepNext/>
      <w:tabs>
        <w:tab w:val="left" w:pos="567"/>
      </w:tabs>
      <w:spacing w:before="480" w:line="400" w:lineRule="exact"/>
    </w:pPr>
    <w:rPr>
      <w:rFonts w:ascii="Arial" w:hAnsi="Arial" w:cs="ITC Stone Sans Std Medium"/>
      <w:color w:val="000000"/>
      <w:sz w:val="32"/>
      <w:szCs w:val="32"/>
    </w:rPr>
  </w:style>
  <w:style w:type="paragraph" w:customStyle="1" w:styleId="H2Heading">
    <w:name w:val="H2 Heading"/>
    <w:basedOn w:val="H1SectionHead"/>
    <w:next w:val="B1BodyText"/>
    <w:rsid w:val="005F2872"/>
    <w:pPr>
      <w:spacing w:line="320" w:lineRule="exact"/>
    </w:pPr>
    <w:rPr>
      <w:sz w:val="28"/>
    </w:rPr>
  </w:style>
  <w:style w:type="paragraph" w:customStyle="1" w:styleId="H3SubHeading">
    <w:name w:val="H3 Sub Heading"/>
    <w:basedOn w:val="B1BodyText"/>
    <w:rsid w:val="00EB75C1"/>
    <w:pPr>
      <w:tabs>
        <w:tab w:val="left" w:pos="567"/>
      </w:tabs>
      <w:spacing w:before="360"/>
      <w:ind w:hanging="567"/>
    </w:pPr>
    <w:rPr>
      <w:b/>
    </w:rPr>
  </w:style>
  <w:style w:type="paragraph" w:customStyle="1" w:styleId="B2BodyTextBullet1">
    <w:name w:val="B2 Body Text Bullet 1"/>
    <w:basedOn w:val="B1BodyText"/>
    <w:rsid w:val="000C47BF"/>
    <w:pPr>
      <w:numPr>
        <w:numId w:val="1"/>
      </w:numPr>
      <w:spacing w:before="0" w:after="60"/>
    </w:pPr>
  </w:style>
  <w:style w:type="paragraph" w:customStyle="1" w:styleId="B2BodyTextBullet2">
    <w:name w:val="B2 Body Text Bullet 2"/>
    <w:basedOn w:val="B1BodyText"/>
    <w:link w:val="B2BodyTextBullet2CharChar"/>
    <w:rsid w:val="009338AC"/>
    <w:pPr>
      <w:numPr>
        <w:numId w:val="2"/>
      </w:numPr>
      <w:spacing w:before="0" w:after="60"/>
    </w:pPr>
  </w:style>
  <w:style w:type="paragraph" w:customStyle="1" w:styleId="DocumentContents">
    <w:name w:val="Document Contents"/>
    <w:basedOn w:val="B1BodyText"/>
    <w:rsid w:val="00E70BD2"/>
    <w:pPr>
      <w:tabs>
        <w:tab w:val="left" w:pos="992"/>
        <w:tab w:val="right" w:leader="dot" w:pos="9072"/>
      </w:tabs>
      <w:spacing w:after="120"/>
      <w:ind w:left="992" w:hanging="992"/>
    </w:pPr>
  </w:style>
  <w:style w:type="paragraph" w:styleId="FootnoteText">
    <w:name w:val="footnote text"/>
    <w:basedOn w:val="Normal"/>
    <w:semiHidden/>
    <w:rsid w:val="00EB75C1"/>
    <w:pPr>
      <w:tabs>
        <w:tab w:val="left" w:pos="425"/>
      </w:tabs>
      <w:spacing w:line="220" w:lineRule="exact"/>
      <w:ind w:left="425" w:hanging="425"/>
    </w:pPr>
    <w:rPr>
      <w:rFonts w:ascii="Arial" w:hAnsi="Arial"/>
      <w:sz w:val="16"/>
      <w:szCs w:val="20"/>
    </w:rPr>
  </w:style>
  <w:style w:type="character" w:styleId="FootnoteReference">
    <w:name w:val="footnote reference"/>
    <w:basedOn w:val="DefaultParagraphFont"/>
    <w:semiHidden/>
    <w:rsid w:val="00A906DC"/>
    <w:rPr>
      <w:vertAlign w:val="superscript"/>
    </w:rPr>
  </w:style>
  <w:style w:type="paragraph" w:customStyle="1" w:styleId="DocumentFigureHeading">
    <w:name w:val="Document Figure Heading"/>
    <w:basedOn w:val="B1BodyText"/>
    <w:next w:val="B1BodyText"/>
    <w:rsid w:val="00EB75C1"/>
    <w:pPr>
      <w:spacing w:before="240"/>
    </w:pPr>
    <w:rPr>
      <w:b/>
      <w:sz w:val="20"/>
    </w:rPr>
  </w:style>
  <w:style w:type="paragraph" w:customStyle="1" w:styleId="Quotation">
    <w:name w:val="Quotation"/>
    <w:basedOn w:val="B1BodyText"/>
    <w:rsid w:val="00F32402"/>
    <w:pPr>
      <w:spacing w:before="180"/>
      <w:ind w:left="1134" w:right="567"/>
    </w:pPr>
    <w:rPr>
      <w:i/>
    </w:rPr>
  </w:style>
  <w:style w:type="table" w:styleId="TableGrid">
    <w:name w:val="Table Grid"/>
    <w:basedOn w:val="TableNormal"/>
    <w:semiHidden/>
    <w:rsid w:val="00714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1BodyText"/>
    <w:rsid w:val="00895450"/>
    <w:pPr>
      <w:spacing w:before="40" w:after="40" w:line="240" w:lineRule="exact"/>
      <w:ind w:left="0"/>
    </w:pPr>
    <w:rPr>
      <w:rFonts w:ascii="Arial Narrow" w:hAnsi="Arial Narrow"/>
      <w:sz w:val="20"/>
    </w:rPr>
  </w:style>
  <w:style w:type="paragraph" w:customStyle="1" w:styleId="TableText-ColumnHeading">
    <w:name w:val="Table Text - Column Heading"/>
    <w:basedOn w:val="TableText"/>
    <w:rsid w:val="00EB75C1"/>
    <w:pPr>
      <w:jc w:val="center"/>
    </w:pPr>
    <w:rPr>
      <w:b/>
    </w:rPr>
  </w:style>
  <w:style w:type="character" w:styleId="Hyperlink">
    <w:name w:val="Hyperlink"/>
    <w:basedOn w:val="DefaultParagraphFont"/>
    <w:uiPriority w:val="99"/>
    <w:rsid w:val="00EC7BC9"/>
    <w:rPr>
      <w:color w:val="0000FF"/>
      <w:u w:val="single"/>
    </w:rPr>
  </w:style>
  <w:style w:type="character" w:customStyle="1" w:styleId="B1BodyTextCharChar">
    <w:name w:val="B1 Body Text Char Char"/>
    <w:basedOn w:val="DefaultParagraphFont"/>
    <w:link w:val="B1BodyText"/>
    <w:rsid w:val="00EB75C1"/>
    <w:rPr>
      <w:rFonts w:ascii="Arial" w:hAnsi="Arial" w:cs="ITC Stone Sans Std Medium"/>
      <w:color w:val="000000"/>
      <w:sz w:val="22"/>
      <w:szCs w:val="24"/>
      <w:lang w:val="en-GB" w:eastAsia="en-GB" w:bidi="ar-SA"/>
    </w:rPr>
  </w:style>
  <w:style w:type="character" w:customStyle="1" w:styleId="B2BodyTextBullet2CharChar">
    <w:name w:val="B2 Body Text Bullet 2 Char Char"/>
    <w:basedOn w:val="B1BodyTextCharChar"/>
    <w:link w:val="B2BodyTextBullet2"/>
    <w:rsid w:val="009338AC"/>
    <w:rPr>
      <w:rFonts w:ascii="Arial" w:hAnsi="Arial" w:cs="ITC Stone Sans Std Medium"/>
      <w:color w:val="000000"/>
      <w:sz w:val="22"/>
      <w:szCs w:val="24"/>
      <w:lang w:val="en-GB" w:eastAsia="en-GB" w:bidi="ar-SA"/>
    </w:rPr>
  </w:style>
  <w:style w:type="numbering" w:styleId="1ai">
    <w:name w:val="Outline List 1"/>
    <w:basedOn w:val="NoList"/>
    <w:semiHidden/>
    <w:rsid w:val="00A10CD5"/>
    <w:pPr>
      <w:numPr>
        <w:numId w:val="14"/>
      </w:numPr>
    </w:pPr>
  </w:style>
  <w:style w:type="numbering" w:styleId="ArticleSection">
    <w:name w:val="Outline List 3"/>
    <w:basedOn w:val="NoList"/>
    <w:semiHidden/>
    <w:rsid w:val="00A10CD5"/>
    <w:pPr>
      <w:numPr>
        <w:numId w:val="15"/>
      </w:numPr>
    </w:pPr>
  </w:style>
  <w:style w:type="paragraph" w:styleId="BlockText">
    <w:name w:val="Block Text"/>
    <w:basedOn w:val="Normal"/>
    <w:semiHidden/>
    <w:rsid w:val="00A10CD5"/>
    <w:pPr>
      <w:spacing w:after="120"/>
      <w:ind w:left="1440" w:right="1440"/>
    </w:pPr>
  </w:style>
  <w:style w:type="paragraph" w:styleId="BodyText2">
    <w:name w:val="Body Text 2"/>
    <w:basedOn w:val="Normal"/>
    <w:semiHidden/>
    <w:rsid w:val="00A10CD5"/>
    <w:pPr>
      <w:spacing w:after="120" w:line="480" w:lineRule="auto"/>
    </w:pPr>
  </w:style>
  <w:style w:type="paragraph" w:styleId="BodyText3">
    <w:name w:val="Body Text 3"/>
    <w:basedOn w:val="Normal"/>
    <w:semiHidden/>
    <w:rsid w:val="00A10CD5"/>
    <w:pPr>
      <w:spacing w:after="120"/>
    </w:pPr>
    <w:rPr>
      <w:sz w:val="16"/>
      <w:szCs w:val="16"/>
    </w:rPr>
  </w:style>
  <w:style w:type="paragraph" w:customStyle="1" w:styleId="DocumentNumber">
    <w:name w:val="Document Number"/>
    <w:basedOn w:val="DocumentFigureHeading"/>
    <w:next w:val="DocumentOutline"/>
    <w:rsid w:val="00791FA1"/>
    <w:pPr>
      <w:spacing w:before="0" w:after="960"/>
      <w:ind w:left="0"/>
      <w:jc w:val="center"/>
    </w:pPr>
  </w:style>
  <w:style w:type="paragraph" w:styleId="BodyTextFirstIndent">
    <w:name w:val="Body Text First Indent"/>
    <w:basedOn w:val="Normal"/>
    <w:semiHidden/>
    <w:rsid w:val="00A10CD5"/>
    <w:pPr>
      <w:spacing w:after="120"/>
      <w:ind w:firstLine="210"/>
    </w:pPr>
  </w:style>
  <w:style w:type="paragraph" w:styleId="BodyTextIndent">
    <w:name w:val="Body Text Indent"/>
    <w:basedOn w:val="Normal"/>
    <w:semiHidden/>
    <w:rsid w:val="00A10CD5"/>
    <w:pPr>
      <w:spacing w:after="120"/>
      <w:ind w:left="283"/>
    </w:pPr>
  </w:style>
  <w:style w:type="paragraph" w:styleId="BodyTextFirstIndent2">
    <w:name w:val="Body Text First Indent 2"/>
    <w:basedOn w:val="BodyTextIndent"/>
    <w:semiHidden/>
    <w:rsid w:val="00A10CD5"/>
    <w:pPr>
      <w:ind w:firstLine="210"/>
    </w:pPr>
  </w:style>
  <w:style w:type="paragraph" w:styleId="BodyTextIndent2">
    <w:name w:val="Body Text Indent 2"/>
    <w:basedOn w:val="Normal"/>
    <w:semiHidden/>
    <w:rsid w:val="00A10CD5"/>
    <w:pPr>
      <w:spacing w:after="120" w:line="480" w:lineRule="auto"/>
      <w:ind w:left="283"/>
    </w:pPr>
  </w:style>
  <w:style w:type="paragraph" w:styleId="BodyTextIndent3">
    <w:name w:val="Body Text Indent 3"/>
    <w:basedOn w:val="Normal"/>
    <w:semiHidden/>
    <w:rsid w:val="00A10CD5"/>
    <w:pPr>
      <w:spacing w:after="120"/>
      <w:ind w:left="283"/>
    </w:pPr>
    <w:rPr>
      <w:sz w:val="16"/>
      <w:szCs w:val="16"/>
    </w:rPr>
  </w:style>
  <w:style w:type="paragraph" w:styleId="Closing">
    <w:name w:val="Closing"/>
    <w:basedOn w:val="Normal"/>
    <w:semiHidden/>
    <w:rsid w:val="00A10CD5"/>
    <w:pPr>
      <w:ind w:left="4252"/>
    </w:pPr>
  </w:style>
  <w:style w:type="paragraph" w:styleId="Date">
    <w:name w:val="Date"/>
    <w:basedOn w:val="Normal"/>
    <w:next w:val="Normal"/>
    <w:semiHidden/>
    <w:rsid w:val="00A10CD5"/>
  </w:style>
  <w:style w:type="paragraph" w:styleId="E-mailSignature">
    <w:name w:val="E-mail Signature"/>
    <w:basedOn w:val="Normal"/>
    <w:semiHidden/>
    <w:rsid w:val="00A10CD5"/>
  </w:style>
  <w:style w:type="character" w:styleId="Emphasis">
    <w:name w:val="Emphasis"/>
    <w:basedOn w:val="DefaultParagraphFont"/>
    <w:qFormat/>
    <w:rsid w:val="00A10CD5"/>
    <w:rPr>
      <w:i/>
      <w:iCs/>
    </w:rPr>
  </w:style>
  <w:style w:type="paragraph" w:styleId="EnvelopeAddress">
    <w:name w:val="envelope address"/>
    <w:basedOn w:val="Normal"/>
    <w:semiHidden/>
    <w:rsid w:val="00A10CD5"/>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10CD5"/>
    <w:rPr>
      <w:rFonts w:ascii="Arial" w:hAnsi="Arial" w:cs="Arial"/>
      <w:sz w:val="20"/>
      <w:szCs w:val="20"/>
    </w:rPr>
  </w:style>
  <w:style w:type="character" w:styleId="FollowedHyperlink">
    <w:name w:val="FollowedHyperlink"/>
    <w:basedOn w:val="DefaultParagraphFont"/>
    <w:semiHidden/>
    <w:rsid w:val="00A10CD5"/>
    <w:rPr>
      <w:color w:val="800080"/>
      <w:u w:val="single"/>
    </w:rPr>
  </w:style>
  <w:style w:type="character" w:styleId="HTMLAcronym">
    <w:name w:val="HTML Acronym"/>
    <w:basedOn w:val="DefaultParagraphFont"/>
    <w:semiHidden/>
    <w:rsid w:val="00A10CD5"/>
  </w:style>
  <w:style w:type="paragraph" w:styleId="HTMLAddress">
    <w:name w:val="HTML Address"/>
    <w:basedOn w:val="Normal"/>
    <w:semiHidden/>
    <w:rsid w:val="00A10CD5"/>
    <w:rPr>
      <w:i/>
      <w:iCs/>
    </w:rPr>
  </w:style>
  <w:style w:type="character" w:styleId="HTMLCite">
    <w:name w:val="HTML Cite"/>
    <w:basedOn w:val="DefaultParagraphFont"/>
    <w:semiHidden/>
    <w:rsid w:val="00A10CD5"/>
    <w:rPr>
      <w:i/>
      <w:iCs/>
    </w:rPr>
  </w:style>
  <w:style w:type="character" w:styleId="HTMLCode">
    <w:name w:val="HTML Code"/>
    <w:basedOn w:val="DefaultParagraphFont"/>
    <w:semiHidden/>
    <w:rsid w:val="00A10CD5"/>
    <w:rPr>
      <w:rFonts w:ascii="Courier New" w:hAnsi="Courier New" w:cs="Courier New"/>
      <w:sz w:val="20"/>
      <w:szCs w:val="20"/>
    </w:rPr>
  </w:style>
  <w:style w:type="character" w:styleId="HTMLDefinition">
    <w:name w:val="HTML Definition"/>
    <w:basedOn w:val="DefaultParagraphFont"/>
    <w:semiHidden/>
    <w:rsid w:val="00A10CD5"/>
    <w:rPr>
      <w:i/>
      <w:iCs/>
    </w:rPr>
  </w:style>
  <w:style w:type="character" w:styleId="HTMLKeyboard">
    <w:name w:val="HTML Keyboard"/>
    <w:basedOn w:val="DefaultParagraphFont"/>
    <w:semiHidden/>
    <w:rsid w:val="00A10CD5"/>
    <w:rPr>
      <w:rFonts w:ascii="Courier New" w:hAnsi="Courier New" w:cs="Courier New"/>
      <w:sz w:val="20"/>
      <w:szCs w:val="20"/>
    </w:rPr>
  </w:style>
  <w:style w:type="paragraph" w:styleId="HTMLPreformatted">
    <w:name w:val="HTML Preformatted"/>
    <w:basedOn w:val="Normal"/>
    <w:semiHidden/>
    <w:rsid w:val="00A10CD5"/>
    <w:rPr>
      <w:rFonts w:ascii="Courier New" w:hAnsi="Courier New" w:cs="Courier New"/>
      <w:sz w:val="20"/>
      <w:szCs w:val="20"/>
    </w:rPr>
  </w:style>
  <w:style w:type="character" w:styleId="HTMLSample">
    <w:name w:val="HTML Sample"/>
    <w:basedOn w:val="DefaultParagraphFont"/>
    <w:semiHidden/>
    <w:rsid w:val="00A10CD5"/>
    <w:rPr>
      <w:rFonts w:ascii="Courier New" w:hAnsi="Courier New" w:cs="Courier New"/>
    </w:rPr>
  </w:style>
  <w:style w:type="character" w:styleId="HTMLTypewriter">
    <w:name w:val="HTML Typewriter"/>
    <w:basedOn w:val="DefaultParagraphFont"/>
    <w:semiHidden/>
    <w:rsid w:val="00A10CD5"/>
    <w:rPr>
      <w:rFonts w:ascii="Courier New" w:hAnsi="Courier New" w:cs="Courier New"/>
      <w:sz w:val="20"/>
      <w:szCs w:val="20"/>
    </w:rPr>
  </w:style>
  <w:style w:type="character" w:styleId="HTMLVariable">
    <w:name w:val="HTML Variable"/>
    <w:basedOn w:val="DefaultParagraphFont"/>
    <w:semiHidden/>
    <w:rsid w:val="00A10CD5"/>
    <w:rPr>
      <w:i/>
      <w:iCs/>
    </w:rPr>
  </w:style>
  <w:style w:type="character" w:styleId="LineNumber">
    <w:name w:val="line number"/>
    <w:basedOn w:val="DefaultParagraphFont"/>
    <w:semiHidden/>
    <w:rsid w:val="00A10CD5"/>
  </w:style>
  <w:style w:type="paragraph" w:styleId="List">
    <w:name w:val="List"/>
    <w:basedOn w:val="Normal"/>
    <w:semiHidden/>
    <w:rsid w:val="00A10CD5"/>
    <w:pPr>
      <w:ind w:left="283" w:hanging="283"/>
    </w:pPr>
  </w:style>
  <w:style w:type="paragraph" w:styleId="List2">
    <w:name w:val="List 2"/>
    <w:basedOn w:val="Normal"/>
    <w:semiHidden/>
    <w:rsid w:val="00A10CD5"/>
    <w:pPr>
      <w:ind w:left="566" w:hanging="283"/>
    </w:pPr>
  </w:style>
  <w:style w:type="paragraph" w:styleId="List3">
    <w:name w:val="List 3"/>
    <w:basedOn w:val="Normal"/>
    <w:semiHidden/>
    <w:rsid w:val="00A10CD5"/>
    <w:pPr>
      <w:ind w:left="849" w:hanging="283"/>
    </w:pPr>
  </w:style>
  <w:style w:type="paragraph" w:styleId="List4">
    <w:name w:val="List 4"/>
    <w:basedOn w:val="Normal"/>
    <w:semiHidden/>
    <w:rsid w:val="00A10CD5"/>
    <w:pPr>
      <w:ind w:left="1132" w:hanging="283"/>
    </w:pPr>
  </w:style>
  <w:style w:type="paragraph" w:styleId="List5">
    <w:name w:val="List 5"/>
    <w:basedOn w:val="Normal"/>
    <w:semiHidden/>
    <w:rsid w:val="00A10CD5"/>
    <w:pPr>
      <w:ind w:left="1415" w:hanging="283"/>
    </w:pPr>
  </w:style>
  <w:style w:type="paragraph" w:styleId="ListBullet">
    <w:name w:val="List Bullet"/>
    <w:basedOn w:val="Normal"/>
    <w:semiHidden/>
    <w:rsid w:val="00A10CD5"/>
    <w:pPr>
      <w:numPr>
        <w:numId w:val="3"/>
      </w:numPr>
    </w:pPr>
  </w:style>
  <w:style w:type="paragraph" w:styleId="ListBullet2">
    <w:name w:val="List Bullet 2"/>
    <w:basedOn w:val="Normal"/>
    <w:semiHidden/>
    <w:rsid w:val="00A10CD5"/>
    <w:pPr>
      <w:numPr>
        <w:numId w:val="4"/>
      </w:numPr>
    </w:pPr>
  </w:style>
  <w:style w:type="paragraph" w:styleId="ListBullet3">
    <w:name w:val="List Bullet 3"/>
    <w:basedOn w:val="Normal"/>
    <w:semiHidden/>
    <w:rsid w:val="00A10CD5"/>
    <w:pPr>
      <w:numPr>
        <w:numId w:val="5"/>
      </w:numPr>
    </w:pPr>
  </w:style>
  <w:style w:type="paragraph" w:styleId="ListBullet4">
    <w:name w:val="List Bullet 4"/>
    <w:basedOn w:val="Normal"/>
    <w:semiHidden/>
    <w:rsid w:val="00A10CD5"/>
    <w:pPr>
      <w:numPr>
        <w:numId w:val="6"/>
      </w:numPr>
    </w:pPr>
  </w:style>
  <w:style w:type="paragraph" w:styleId="ListBullet5">
    <w:name w:val="List Bullet 5"/>
    <w:basedOn w:val="Normal"/>
    <w:semiHidden/>
    <w:rsid w:val="00A10CD5"/>
    <w:pPr>
      <w:numPr>
        <w:numId w:val="7"/>
      </w:numPr>
    </w:pPr>
  </w:style>
  <w:style w:type="paragraph" w:styleId="ListContinue">
    <w:name w:val="List Continue"/>
    <w:basedOn w:val="Normal"/>
    <w:semiHidden/>
    <w:rsid w:val="00A10CD5"/>
    <w:pPr>
      <w:spacing w:after="120"/>
      <w:ind w:left="283"/>
    </w:pPr>
  </w:style>
  <w:style w:type="paragraph" w:styleId="ListContinue2">
    <w:name w:val="List Continue 2"/>
    <w:basedOn w:val="Normal"/>
    <w:semiHidden/>
    <w:rsid w:val="00A10CD5"/>
    <w:pPr>
      <w:spacing w:after="120"/>
      <w:ind w:left="566"/>
    </w:pPr>
  </w:style>
  <w:style w:type="paragraph" w:styleId="ListContinue3">
    <w:name w:val="List Continue 3"/>
    <w:basedOn w:val="Normal"/>
    <w:semiHidden/>
    <w:rsid w:val="00A10CD5"/>
    <w:pPr>
      <w:spacing w:after="120"/>
      <w:ind w:left="849"/>
    </w:pPr>
  </w:style>
  <w:style w:type="paragraph" w:styleId="ListContinue4">
    <w:name w:val="List Continue 4"/>
    <w:basedOn w:val="Normal"/>
    <w:semiHidden/>
    <w:rsid w:val="00A10CD5"/>
    <w:pPr>
      <w:spacing w:after="120"/>
      <w:ind w:left="1132"/>
    </w:pPr>
  </w:style>
  <w:style w:type="paragraph" w:styleId="ListContinue5">
    <w:name w:val="List Continue 5"/>
    <w:basedOn w:val="Normal"/>
    <w:semiHidden/>
    <w:rsid w:val="00A10CD5"/>
    <w:pPr>
      <w:spacing w:after="120"/>
      <w:ind w:left="1415"/>
    </w:pPr>
  </w:style>
  <w:style w:type="paragraph" w:styleId="ListNumber">
    <w:name w:val="List Number"/>
    <w:basedOn w:val="Normal"/>
    <w:semiHidden/>
    <w:rsid w:val="00A10CD5"/>
    <w:pPr>
      <w:numPr>
        <w:numId w:val="8"/>
      </w:numPr>
    </w:pPr>
  </w:style>
  <w:style w:type="paragraph" w:styleId="ListNumber2">
    <w:name w:val="List Number 2"/>
    <w:basedOn w:val="Normal"/>
    <w:semiHidden/>
    <w:rsid w:val="00A10CD5"/>
    <w:pPr>
      <w:numPr>
        <w:numId w:val="9"/>
      </w:numPr>
    </w:pPr>
  </w:style>
  <w:style w:type="paragraph" w:styleId="ListNumber3">
    <w:name w:val="List Number 3"/>
    <w:basedOn w:val="Normal"/>
    <w:semiHidden/>
    <w:rsid w:val="00A10CD5"/>
    <w:pPr>
      <w:numPr>
        <w:numId w:val="10"/>
      </w:numPr>
    </w:pPr>
  </w:style>
  <w:style w:type="paragraph" w:styleId="ListNumber4">
    <w:name w:val="List Number 4"/>
    <w:basedOn w:val="Normal"/>
    <w:semiHidden/>
    <w:rsid w:val="00A10CD5"/>
    <w:pPr>
      <w:numPr>
        <w:numId w:val="11"/>
      </w:numPr>
    </w:pPr>
  </w:style>
  <w:style w:type="paragraph" w:styleId="ListNumber5">
    <w:name w:val="List Number 5"/>
    <w:basedOn w:val="Normal"/>
    <w:semiHidden/>
    <w:rsid w:val="00A10CD5"/>
    <w:pPr>
      <w:numPr>
        <w:numId w:val="12"/>
      </w:numPr>
    </w:pPr>
  </w:style>
  <w:style w:type="paragraph" w:styleId="MessageHeader">
    <w:name w:val="Message Header"/>
    <w:basedOn w:val="Normal"/>
    <w:semiHidden/>
    <w:rsid w:val="00A10C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A10CD5"/>
  </w:style>
  <w:style w:type="paragraph" w:styleId="NormalIndent">
    <w:name w:val="Normal Indent"/>
    <w:basedOn w:val="Normal"/>
    <w:semiHidden/>
    <w:rsid w:val="00A10CD5"/>
    <w:pPr>
      <w:ind w:left="720"/>
    </w:pPr>
  </w:style>
  <w:style w:type="paragraph" w:styleId="NoteHeading">
    <w:name w:val="Note Heading"/>
    <w:basedOn w:val="Normal"/>
    <w:next w:val="Normal"/>
    <w:semiHidden/>
    <w:rsid w:val="00A10CD5"/>
  </w:style>
  <w:style w:type="paragraph" w:styleId="PlainText">
    <w:name w:val="Plain Text"/>
    <w:basedOn w:val="Normal"/>
    <w:semiHidden/>
    <w:rsid w:val="00A10CD5"/>
    <w:rPr>
      <w:rFonts w:ascii="Courier New" w:hAnsi="Courier New" w:cs="Courier New"/>
      <w:sz w:val="20"/>
      <w:szCs w:val="20"/>
    </w:rPr>
  </w:style>
  <w:style w:type="paragraph" w:styleId="Salutation">
    <w:name w:val="Salutation"/>
    <w:basedOn w:val="Normal"/>
    <w:next w:val="Normal"/>
    <w:semiHidden/>
    <w:rsid w:val="00A10CD5"/>
  </w:style>
  <w:style w:type="paragraph" w:styleId="Signature">
    <w:name w:val="Signature"/>
    <w:basedOn w:val="Normal"/>
    <w:semiHidden/>
    <w:rsid w:val="00A10CD5"/>
    <w:pPr>
      <w:ind w:left="4252"/>
    </w:pPr>
  </w:style>
  <w:style w:type="character" w:styleId="Strong">
    <w:name w:val="Strong"/>
    <w:basedOn w:val="DefaultParagraphFont"/>
    <w:qFormat/>
    <w:rsid w:val="00A10CD5"/>
    <w:rPr>
      <w:b/>
      <w:bCs/>
    </w:rPr>
  </w:style>
  <w:style w:type="paragraph" w:styleId="Subtitle">
    <w:name w:val="Subtitle"/>
    <w:basedOn w:val="Normal"/>
    <w:qFormat/>
    <w:rsid w:val="00A10CD5"/>
    <w:pPr>
      <w:spacing w:after="60"/>
      <w:jc w:val="center"/>
      <w:outlineLvl w:val="1"/>
    </w:pPr>
    <w:rPr>
      <w:rFonts w:ascii="Arial" w:hAnsi="Arial" w:cs="Arial"/>
    </w:rPr>
  </w:style>
  <w:style w:type="table" w:styleId="Table3Deffects1">
    <w:name w:val="Table 3D effects 1"/>
    <w:basedOn w:val="TableNormal"/>
    <w:semiHidden/>
    <w:rsid w:val="00A10CD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10CD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10CD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10CD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10CD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10CD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10CD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10CD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10CD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10CD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10CD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10CD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10CD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10CD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10CD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10CD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10CD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10CD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10CD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10CD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10CD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10CD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10CD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10CD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10C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10CD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10CD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10CD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10CD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10CD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10CD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10CD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10CD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10CD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10CD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10CD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10CD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10CD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10CD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10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10CD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10CD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10CD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10CD5"/>
    <w:pPr>
      <w:spacing w:before="240" w:after="60"/>
      <w:jc w:val="center"/>
      <w:outlineLvl w:val="0"/>
    </w:pPr>
    <w:rPr>
      <w:rFonts w:ascii="Arial" w:hAnsi="Arial" w:cs="Arial"/>
      <w:b/>
      <w:bCs/>
      <w:kern w:val="28"/>
      <w:sz w:val="32"/>
      <w:szCs w:val="32"/>
    </w:rPr>
  </w:style>
  <w:style w:type="paragraph" w:customStyle="1" w:styleId="CoverNote">
    <w:name w:val="Cover Note"/>
    <w:basedOn w:val="Normal"/>
    <w:rsid w:val="00EB75C1"/>
    <w:pPr>
      <w:framePr w:w="9639" w:hSpace="181" w:wrap="notBeside" w:vAnchor="page" w:hAnchor="page" w:x="1135" w:y="15310"/>
      <w:spacing w:line="220" w:lineRule="atLeast"/>
      <w:jc w:val="center"/>
    </w:pPr>
    <w:rPr>
      <w:rFonts w:ascii="Arial" w:hAnsi="Arial"/>
      <w:sz w:val="16"/>
      <w:szCs w:val="20"/>
    </w:rPr>
  </w:style>
  <w:style w:type="paragraph" w:styleId="TOC1">
    <w:name w:val="toc 1"/>
    <w:basedOn w:val="DocumentContents"/>
    <w:next w:val="DocumentContents"/>
    <w:rsid w:val="00691109"/>
  </w:style>
  <w:style w:type="paragraph" w:styleId="TOC2">
    <w:name w:val="toc 2"/>
    <w:basedOn w:val="DocumentContents"/>
    <w:next w:val="Normal"/>
    <w:rsid w:val="002F65EA"/>
  </w:style>
  <w:style w:type="paragraph" w:styleId="TOC3">
    <w:name w:val="toc 3"/>
    <w:basedOn w:val="DocumentContents"/>
    <w:next w:val="DocumentContents"/>
    <w:rsid w:val="002F65EA"/>
  </w:style>
  <w:style w:type="paragraph" w:styleId="TOC4">
    <w:name w:val="toc 4"/>
    <w:basedOn w:val="DocumentContents"/>
    <w:next w:val="DocumentContents"/>
    <w:semiHidden/>
    <w:rsid w:val="002F65EA"/>
    <w:pPr>
      <w:ind w:firstLine="0"/>
    </w:pPr>
  </w:style>
  <w:style w:type="paragraph" w:styleId="BalloonText">
    <w:name w:val="Balloon Text"/>
    <w:basedOn w:val="Normal"/>
    <w:link w:val="BalloonTextChar"/>
    <w:rsid w:val="001C5F15"/>
    <w:rPr>
      <w:rFonts w:ascii="Tahoma" w:hAnsi="Tahoma" w:cs="Tahoma"/>
      <w:sz w:val="16"/>
      <w:szCs w:val="16"/>
    </w:rPr>
  </w:style>
  <w:style w:type="character" w:customStyle="1" w:styleId="BalloonTextChar">
    <w:name w:val="Balloon Text Char"/>
    <w:basedOn w:val="DefaultParagraphFont"/>
    <w:link w:val="BalloonText"/>
    <w:rsid w:val="001C5F15"/>
    <w:rPr>
      <w:rFonts w:ascii="Tahoma" w:hAnsi="Tahoma" w:cs="Tahoma"/>
      <w:sz w:val="16"/>
      <w:szCs w:val="16"/>
      <w:lang w:val="en-US" w:eastAsia="en-US"/>
    </w:rPr>
  </w:style>
  <w:style w:type="paragraph" w:customStyle="1" w:styleId="Default">
    <w:name w:val="Default"/>
    <w:rsid w:val="004A55DE"/>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AD5815"/>
  </w:style>
  <w:style w:type="paragraph" w:styleId="ListParagraph">
    <w:name w:val="List Paragraph"/>
    <w:basedOn w:val="Normal"/>
    <w:uiPriority w:val="34"/>
    <w:qFormat/>
    <w:rsid w:val="00F14655"/>
    <w:pPr>
      <w:spacing w:after="200" w:line="276" w:lineRule="auto"/>
      <w:ind w:left="720"/>
      <w:contextualSpacing/>
    </w:pPr>
    <w:rPr>
      <w:rFonts w:asciiTheme="minorHAnsi" w:eastAsiaTheme="minorHAnsi" w:hAnsiTheme="minorHAnsi" w:cstheme="minorBid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6DC"/>
    <w:rPr>
      <w:sz w:val="24"/>
      <w:szCs w:val="24"/>
      <w:lang w:val="en-US" w:eastAsia="en-US"/>
    </w:rPr>
  </w:style>
  <w:style w:type="paragraph" w:styleId="Heading1">
    <w:name w:val="heading 1"/>
    <w:basedOn w:val="Normal"/>
    <w:next w:val="Normal"/>
    <w:qFormat/>
    <w:rsid w:val="00A10CD5"/>
    <w:pPr>
      <w:keepNext/>
      <w:spacing w:before="240" w:after="60"/>
      <w:outlineLvl w:val="0"/>
    </w:pPr>
    <w:rPr>
      <w:rFonts w:ascii="Arial" w:hAnsi="Arial" w:cs="Arial"/>
      <w:b/>
      <w:bCs/>
      <w:kern w:val="32"/>
      <w:sz w:val="32"/>
      <w:szCs w:val="32"/>
    </w:rPr>
  </w:style>
  <w:style w:type="paragraph" w:styleId="Heading2">
    <w:name w:val="heading 2"/>
    <w:basedOn w:val="Normal"/>
    <w:qFormat/>
    <w:pPr>
      <w:spacing w:before="100" w:beforeAutospacing="1" w:after="100" w:afterAutospacing="1"/>
      <w:outlineLvl w:val="1"/>
    </w:pPr>
    <w:rPr>
      <w:rFonts w:ascii="Arial Unicode MS" w:eastAsia="Arial Unicode MS" w:hAnsi="Arial Unicode MS" w:cs="Arial Unicode MS"/>
      <w:b/>
      <w:bCs/>
      <w:color w:val="000000"/>
      <w:sz w:val="36"/>
      <w:szCs w:val="36"/>
    </w:rPr>
  </w:style>
  <w:style w:type="paragraph" w:styleId="Heading3">
    <w:name w:val="heading 3"/>
    <w:basedOn w:val="Normal"/>
    <w:next w:val="Normal"/>
    <w:qFormat/>
    <w:rsid w:val="00A10CD5"/>
    <w:pPr>
      <w:keepNext/>
      <w:spacing w:before="240" w:after="60"/>
      <w:outlineLvl w:val="2"/>
    </w:pPr>
    <w:rPr>
      <w:rFonts w:ascii="Arial" w:hAnsi="Arial" w:cs="Arial"/>
      <w:b/>
      <w:bCs/>
      <w:sz w:val="26"/>
      <w:szCs w:val="26"/>
    </w:rPr>
  </w:style>
  <w:style w:type="paragraph" w:styleId="Heading4">
    <w:name w:val="heading 4"/>
    <w:basedOn w:val="Normal"/>
    <w:next w:val="Normal"/>
    <w:qFormat/>
    <w:rsid w:val="00A10CD5"/>
    <w:pPr>
      <w:keepNext/>
      <w:spacing w:before="240" w:after="60"/>
      <w:outlineLvl w:val="3"/>
    </w:pPr>
    <w:rPr>
      <w:b/>
      <w:bCs/>
      <w:sz w:val="28"/>
      <w:szCs w:val="28"/>
    </w:rPr>
  </w:style>
  <w:style w:type="paragraph" w:styleId="Heading5">
    <w:name w:val="heading 5"/>
    <w:basedOn w:val="Normal"/>
    <w:next w:val="Normal"/>
    <w:qFormat/>
    <w:rsid w:val="00A10CD5"/>
    <w:pPr>
      <w:spacing w:before="240" w:after="60"/>
      <w:outlineLvl w:val="4"/>
    </w:pPr>
    <w:rPr>
      <w:b/>
      <w:bCs/>
      <w:i/>
      <w:iCs/>
      <w:sz w:val="26"/>
      <w:szCs w:val="26"/>
    </w:rPr>
  </w:style>
  <w:style w:type="paragraph" w:styleId="Heading6">
    <w:name w:val="heading 6"/>
    <w:basedOn w:val="Normal"/>
    <w:next w:val="Normal"/>
    <w:qFormat/>
    <w:rsid w:val="00A10CD5"/>
    <w:pPr>
      <w:spacing w:before="240" w:after="60"/>
      <w:outlineLvl w:val="5"/>
    </w:pPr>
    <w:rPr>
      <w:b/>
      <w:bCs/>
      <w:sz w:val="22"/>
      <w:szCs w:val="22"/>
    </w:rPr>
  </w:style>
  <w:style w:type="paragraph" w:styleId="Heading7">
    <w:name w:val="heading 7"/>
    <w:basedOn w:val="Normal"/>
    <w:next w:val="Normal"/>
    <w:qFormat/>
    <w:rsid w:val="00A10CD5"/>
    <w:pPr>
      <w:spacing w:before="240" w:after="60"/>
      <w:outlineLvl w:val="6"/>
    </w:pPr>
  </w:style>
  <w:style w:type="paragraph" w:styleId="Heading8">
    <w:name w:val="heading 8"/>
    <w:basedOn w:val="Normal"/>
    <w:next w:val="Normal"/>
    <w:qFormat/>
    <w:rsid w:val="00A10CD5"/>
    <w:pPr>
      <w:spacing w:before="240" w:after="60"/>
      <w:outlineLvl w:val="7"/>
    </w:pPr>
    <w:rPr>
      <w:i/>
      <w:iCs/>
    </w:rPr>
  </w:style>
  <w:style w:type="paragraph" w:styleId="Heading9">
    <w:name w:val="heading 9"/>
    <w:basedOn w:val="Normal"/>
    <w:next w:val="Normal"/>
    <w:qFormat/>
    <w:rsid w:val="00A10CD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semiHidden/>
    <w:pPr>
      <w:pageBreakBefore/>
      <w:spacing w:after="360"/>
    </w:pPr>
    <w:rPr>
      <w:b/>
      <w:sz w:val="36"/>
      <w:szCs w:val="20"/>
    </w:rPr>
  </w:style>
  <w:style w:type="paragraph" w:styleId="Header">
    <w:name w:val="header"/>
    <w:basedOn w:val="Normal"/>
    <w:semiHidden/>
    <w:rsid w:val="00AA4FAC"/>
    <w:pPr>
      <w:tabs>
        <w:tab w:val="center" w:pos="4153"/>
        <w:tab w:val="right" w:pos="8306"/>
      </w:tabs>
    </w:pPr>
  </w:style>
  <w:style w:type="paragraph" w:styleId="Footer">
    <w:name w:val="footer"/>
    <w:basedOn w:val="Normal"/>
    <w:semiHidden/>
    <w:rsid w:val="006537CF"/>
    <w:pPr>
      <w:tabs>
        <w:tab w:val="left" w:pos="425"/>
      </w:tabs>
      <w:spacing w:after="40" w:line="220" w:lineRule="exact"/>
      <w:ind w:left="425" w:hanging="425"/>
    </w:pPr>
    <w:rPr>
      <w:rFonts w:ascii="Arial" w:hAnsi="Arial"/>
      <w:sz w:val="18"/>
    </w:rPr>
  </w:style>
  <w:style w:type="paragraph" w:customStyle="1" w:styleId="MainHeader">
    <w:name w:val="Main Header"/>
    <w:basedOn w:val="Normal"/>
    <w:semiHidden/>
    <w:rsid w:val="00EB75C1"/>
    <w:pPr>
      <w:widowControl w:val="0"/>
      <w:suppressAutoHyphens/>
      <w:autoSpaceDE w:val="0"/>
      <w:autoSpaceDN w:val="0"/>
      <w:adjustRightInd w:val="0"/>
      <w:spacing w:line="500" w:lineRule="atLeast"/>
      <w:jc w:val="center"/>
      <w:textAlignment w:val="center"/>
    </w:pPr>
    <w:rPr>
      <w:rFonts w:ascii="Arial" w:hAnsi="Arial" w:cs="ITC Stone Sans Std Medium"/>
      <w:color w:val="000000"/>
      <w:sz w:val="40"/>
      <w:szCs w:val="40"/>
      <w:lang w:eastAsia="en-GB"/>
    </w:rPr>
  </w:style>
  <w:style w:type="numbering" w:styleId="111111">
    <w:name w:val="Outline List 2"/>
    <w:basedOn w:val="NoList"/>
    <w:semiHidden/>
    <w:rsid w:val="00A10CD5"/>
    <w:pPr>
      <w:numPr>
        <w:numId w:val="13"/>
      </w:numPr>
    </w:pPr>
  </w:style>
  <w:style w:type="paragraph" w:customStyle="1" w:styleId="DocumentDate">
    <w:name w:val="Document Date"/>
    <w:next w:val="DocumentAuthors"/>
    <w:rsid w:val="000417C1"/>
    <w:pPr>
      <w:widowControl w:val="0"/>
      <w:tabs>
        <w:tab w:val="center" w:pos="4536"/>
        <w:tab w:val="right" w:pos="9356"/>
      </w:tabs>
      <w:spacing w:after="360"/>
      <w:ind w:left="-284"/>
    </w:pPr>
    <w:rPr>
      <w:rFonts w:ascii="Arial" w:hAnsi="Arial" w:cs="ITC Stone Sans Std Medium"/>
      <w:color w:val="000000"/>
    </w:rPr>
  </w:style>
  <w:style w:type="paragraph" w:customStyle="1" w:styleId="DocumentAuthors">
    <w:name w:val="Document Authors"/>
    <w:basedOn w:val="MainHeader"/>
    <w:next w:val="DocumentTitle"/>
    <w:rsid w:val="00EB75C1"/>
    <w:pPr>
      <w:widowControl/>
      <w:suppressAutoHyphens w:val="0"/>
      <w:autoSpaceDE/>
      <w:autoSpaceDN/>
      <w:adjustRightInd/>
      <w:spacing w:after="240"/>
      <w:textAlignment w:val="auto"/>
    </w:pPr>
    <w:rPr>
      <w:b/>
      <w:sz w:val="24"/>
      <w:szCs w:val="28"/>
    </w:rPr>
  </w:style>
  <w:style w:type="paragraph" w:customStyle="1" w:styleId="DocumentTitle">
    <w:name w:val="Document Title"/>
    <w:basedOn w:val="MainHeader"/>
    <w:next w:val="DocumentOutline"/>
    <w:rsid w:val="00307262"/>
    <w:pPr>
      <w:widowControl/>
      <w:suppressAutoHyphens w:val="0"/>
      <w:autoSpaceDE/>
      <w:autoSpaceDN/>
      <w:adjustRightInd/>
      <w:spacing w:after="720"/>
      <w:textAlignment w:val="auto"/>
    </w:pPr>
    <w:rPr>
      <w:sz w:val="64"/>
      <w:szCs w:val="64"/>
    </w:rPr>
  </w:style>
  <w:style w:type="paragraph" w:customStyle="1" w:styleId="DocumentOutline">
    <w:name w:val="Document Outline"/>
    <w:basedOn w:val="DocumentDate"/>
    <w:semiHidden/>
    <w:rsid w:val="00DB7333"/>
    <w:pPr>
      <w:spacing w:before="720" w:after="100" w:afterAutospacing="1" w:line="300" w:lineRule="atLeast"/>
    </w:pPr>
  </w:style>
  <w:style w:type="character" w:styleId="PageNumber">
    <w:name w:val="page number"/>
    <w:basedOn w:val="DefaultParagraphFont"/>
    <w:semiHidden/>
    <w:rsid w:val="006537CF"/>
    <w:rPr>
      <w:rFonts w:ascii="Arial" w:hAnsi="Arial"/>
      <w:sz w:val="18"/>
    </w:rPr>
  </w:style>
  <w:style w:type="paragraph" w:customStyle="1" w:styleId="DocumentFooter">
    <w:name w:val="Document Footer"/>
    <w:basedOn w:val="Header"/>
    <w:rsid w:val="00EB75C1"/>
    <w:pPr>
      <w:tabs>
        <w:tab w:val="clear" w:pos="4153"/>
        <w:tab w:val="clear" w:pos="8306"/>
        <w:tab w:val="center" w:pos="4536"/>
        <w:tab w:val="right" w:pos="9072"/>
      </w:tabs>
      <w:jc w:val="right"/>
    </w:pPr>
    <w:rPr>
      <w:rFonts w:ascii="Arial" w:hAnsi="Arial"/>
      <w:sz w:val="18"/>
    </w:rPr>
  </w:style>
  <w:style w:type="paragraph" w:customStyle="1" w:styleId="B1BodyText">
    <w:name w:val="B1 Body Text"/>
    <w:link w:val="B1BodyTextCharChar"/>
    <w:rsid w:val="00EB75C1"/>
    <w:pPr>
      <w:spacing w:before="120" w:after="180" w:line="320" w:lineRule="atLeast"/>
      <w:ind w:left="567"/>
    </w:pPr>
    <w:rPr>
      <w:rFonts w:ascii="Arial" w:hAnsi="Arial" w:cs="ITC Stone Sans Std Medium"/>
      <w:color w:val="000000"/>
      <w:sz w:val="22"/>
      <w:szCs w:val="24"/>
    </w:rPr>
  </w:style>
  <w:style w:type="paragraph" w:customStyle="1" w:styleId="Sub-Header01Bullets10mm">
    <w:name w:val="Sub-Header 01 Bullets 10mm"/>
    <w:basedOn w:val="Normal"/>
    <w:semiHidden/>
    <w:rsid w:val="005C6898"/>
    <w:pPr>
      <w:keepNext/>
      <w:widowControl w:val="0"/>
      <w:suppressAutoHyphens/>
      <w:autoSpaceDE w:val="0"/>
      <w:autoSpaceDN w:val="0"/>
      <w:adjustRightInd w:val="0"/>
      <w:spacing w:line="400" w:lineRule="atLeast"/>
      <w:ind w:left="567" w:hanging="567"/>
      <w:textAlignment w:val="center"/>
    </w:pPr>
    <w:rPr>
      <w:rFonts w:ascii="ITC Stone Sans Std Medium" w:hAnsi="ITC Stone Sans Std Medium" w:cs="ITC Stone Sans Std Medium"/>
      <w:color w:val="000000"/>
      <w:sz w:val="32"/>
      <w:szCs w:val="32"/>
      <w:lang w:eastAsia="en-GB"/>
    </w:rPr>
  </w:style>
  <w:style w:type="paragraph" w:customStyle="1" w:styleId="H1SectionHead">
    <w:name w:val="H1 Section Head"/>
    <w:next w:val="B1BodyText"/>
    <w:rsid w:val="00EB75C1"/>
    <w:pPr>
      <w:keepNext/>
      <w:tabs>
        <w:tab w:val="left" w:pos="567"/>
      </w:tabs>
      <w:spacing w:before="480" w:line="400" w:lineRule="exact"/>
    </w:pPr>
    <w:rPr>
      <w:rFonts w:ascii="Arial" w:hAnsi="Arial" w:cs="ITC Stone Sans Std Medium"/>
      <w:color w:val="000000"/>
      <w:sz w:val="32"/>
      <w:szCs w:val="32"/>
    </w:rPr>
  </w:style>
  <w:style w:type="paragraph" w:customStyle="1" w:styleId="H2Heading">
    <w:name w:val="H2 Heading"/>
    <w:basedOn w:val="H1SectionHead"/>
    <w:next w:val="B1BodyText"/>
    <w:rsid w:val="005F2872"/>
    <w:pPr>
      <w:spacing w:line="320" w:lineRule="exact"/>
    </w:pPr>
    <w:rPr>
      <w:sz w:val="28"/>
    </w:rPr>
  </w:style>
  <w:style w:type="paragraph" w:customStyle="1" w:styleId="H3SubHeading">
    <w:name w:val="H3 Sub Heading"/>
    <w:basedOn w:val="B1BodyText"/>
    <w:rsid w:val="00EB75C1"/>
    <w:pPr>
      <w:tabs>
        <w:tab w:val="left" w:pos="567"/>
      </w:tabs>
      <w:spacing w:before="360"/>
      <w:ind w:hanging="567"/>
    </w:pPr>
    <w:rPr>
      <w:b/>
    </w:rPr>
  </w:style>
  <w:style w:type="paragraph" w:customStyle="1" w:styleId="B2BodyTextBullet1">
    <w:name w:val="B2 Body Text Bullet 1"/>
    <w:basedOn w:val="B1BodyText"/>
    <w:rsid w:val="000C47BF"/>
    <w:pPr>
      <w:numPr>
        <w:numId w:val="1"/>
      </w:numPr>
      <w:spacing w:before="0" w:after="60"/>
    </w:pPr>
  </w:style>
  <w:style w:type="paragraph" w:customStyle="1" w:styleId="B2BodyTextBullet2">
    <w:name w:val="B2 Body Text Bullet 2"/>
    <w:basedOn w:val="B1BodyText"/>
    <w:link w:val="B2BodyTextBullet2CharChar"/>
    <w:rsid w:val="009338AC"/>
    <w:pPr>
      <w:numPr>
        <w:numId w:val="2"/>
      </w:numPr>
      <w:spacing w:before="0" w:after="60"/>
    </w:pPr>
  </w:style>
  <w:style w:type="paragraph" w:customStyle="1" w:styleId="DocumentContents">
    <w:name w:val="Document Contents"/>
    <w:basedOn w:val="B1BodyText"/>
    <w:rsid w:val="00E70BD2"/>
    <w:pPr>
      <w:tabs>
        <w:tab w:val="left" w:pos="992"/>
        <w:tab w:val="right" w:leader="dot" w:pos="9072"/>
      </w:tabs>
      <w:spacing w:after="120"/>
      <w:ind w:left="992" w:hanging="992"/>
    </w:pPr>
  </w:style>
  <w:style w:type="paragraph" w:styleId="FootnoteText">
    <w:name w:val="footnote text"/>
    <w:basedOn w:val="Normal"/>
    <w:semiHidden/>
    <w:rsid w:val="00EB75C1"/>
    <w:pPr>
      <w:tabs>
        <w:tab w:val="left" w:pos="425"/>
      </w:tabs>
      <w:spacing w:line="220" w:lineRule="exact"/>
      <w:ind w:left="425" w:hanging="425"/>
    </w:pPr>
    <w:rPr>
      <w:rFonts w:ascii="Arial" w:hAnsi="Arial"/>
      <w:sz w:val="16"/>
      <w:szCs w:val="20"/>
    </w:rPr>
  </w:style>
  <w:style w:type="character" w:styleId="FootnoteReference">
    <w:name w:val="footnote reference"/>
    <w:basedOn w:val="DefaultParagraphFont"/>
    <w:semiHidden/>
    <w:rsid w:val="00A906DC"/>
    <w:rPr>
      <w:vertAlign w:val="superscript"/>
    </w:rPr>
  </w:style>
  <w:style w:type="paragraph" w:customStyle="1" w:styleId="DocumentFigureHeading">
    <w:name w:val="Document Figure Heading"/>
    <w:basedOn w:val="B1BodyText"/>
    <w:next w:val="B1BodyText"/>
    <w:rsid w:val="00EB75C1"/>
    <w:pPr>
      <w:spacing w:before="240"/>
    </w:pPr>
    <w:rPr>
      <w:b/>
      <w:sz w:val="20"/>
    </w:rPr>
  </w:style>
  <w:style w:type="paragraph" w:customStyle="1" w:styleId="Quotation">
    <w:name w:val="Quotation"/>
    <w:basedOn w:val="B1BodyText"/>
    <w:rsid w:val="00F32402"/>
    <w:pPr>
      <w:spacing w:before="180"/>
      <w:ind w:left="1134" w:right="567"/>
    </w:pPr>
    <w:rPr>
      <w:i/>
    </w:rPr>
  </w:style>
  <w:style w:type="table" w:styleId="TableGrid">
    <w:name w:val="Table Grid"/>
    <w:basedOn w:val="TableNormal"/>
    <w:semiHidden/>
    <w:rsid w:val="00714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1BodyText"/>
    <w:rsid w:val="00895450"/>
    <w:pPr>
      <w:spacing w:before="40" w:after="40" w:line="240" w:lineRule="exact"/>
      <w:ind w:left="0"/>
    </w:pPr>
    <w:rPr>
      <w:rFonts w:ascii="Arial Narrow" w:hAnsi="Arial Narrow"/>
      <w:sz w:val="20"/>
    </w:rPr>
  </w:style>
  <w:style w:type="paragraph" w:customStyle="1" w:styleId="TableText-ColumnHeading">
    <w:name w:val="Table Text - Column Heading"/>
    <w:basedOn w:val="TableText"/>
    <w:rsid w:val="00EB75C1"/>
    <w:pPr>
      <w:jc w:val="center"/>
    </w:pPr>
    <w:rPr>
      <w:b/>
    </w:rPr>
  </w:style>
  <w:style w:type="character" w:styleId="Hyperlink">
    <w:name w:val="Hyperlink"/>
    <w:basedOn w:val="DefaultParagraphFont"/>
    <w:uiPriority w:val="99"/>
    <w:rsid w:val="00EC7BC9"/>
    <w:rPr>
      <w:color w:val="0000FF"/>
      <w:u w:val="single"/>
    </w:rPr>
  </w:style>
  <w:style w:type="character" w:customStyle="1" w:styleId="B1BodyTextCharChar">
    <w:name w:val="B1 Body Text Char Char"/>
    <w:basedOn w:val="DefaultParagraphFont"/>
    <w:link w:val="B1BodyText"/>
    <w:rsid w:val="00EB75C1"/>
    <w:rPr>
      <w:rFonts w:ascii="Arial" w:hAnsi="Arial" w:cs="ITC Stone Sans Std Medium"/>
      <w:color w:val="000000"/>
      <w:sz w:val="22"/>
      <w:szCs w:val="24"/>
      <w:lang w:val="en-GB" w:eastAsia="en-GB" w:bidi="ar-SA"/>
    </w:rPr>
  </w:style>
  <w:style w:type="character" w:customStyle="1" w:styleId="B2BodyTextBullet2CharChar">
    <w:name w:val="B2 Body Text Bullet 2 Char Char"/>
    <w:basedOn w:val="B1BodyTextCharChar"/>
    <w:link w:val="B2BodyTextBullet2"/>
    <w:rsid w:val="009338AC"/>
    <w:rPr>
      <w:rFonts w:ascii="Arial" w:hAnsi="Arial" w:cs="ITC Stone Sans Std Medium"/>
      <w:color w:val="000000"/>
      <w:sz w:val="22"/>
      <w:szCs w:val="24"/>
      <w:lang w:val="en-GB" w:eastAsia="en-GB" w:bidi="ar-SA"/>
    </w:rPr>
  </w:style>
  <w:style w:type="numbering" w:styleId="1ai">
    <w:name w:val="Outline List 1"/>
    <w:basedOn w:val="NoList"/>
    <w:semiHidden/>
    <w:rsid w:val="00A10CD5"/>
    <w:pPr>
      <w:numPr>
        <w:numId w:val="14"/>
      </w:numPr>
    </w:pPr>
  </w:style>
  <w:style w:type="numbering" w:styleId="ArticleSection">
    <w:name w:val="Outline List 3"/>
    <w:basedOn w:val="NoList"/>
    <w:semiHidden/>
    <w:rsid w:val="00A10CD5"/>
    <w:pPr>
      <w:numPr>
        <w:numId w:val="15"/>
      </w:numPr>
    </w:pPr>
  </w:style>
  <w:style w:type="paragraph" w:styleId="BlockText">
    <w:name w:val="Block Text"/>
    <w:basedOn w:val="Normal"/>
    <w:semiHidden/>
    <w:rsid w:val="00A10CD5"/>
    <w:pPr>
      <w:spacing w:after="120"/>
      <w:ind w:left="1440" w:right="1440"/>
    </w:pPr>
  </w:style>
  <w:style w:type="paragraph" w:styleId="BodyText2">
    <w:name w:val="Body Text 2"/>
    <w:basedOn w:val="Normal"/>
    <w:semiHidden/>
    <w:rsid w:val="00A10CD5"/>
    <w:pPr>
      <w:spacing w:after="120" w:line="480" w:lineRule="auto"/>
    </w:pPr>
  </w:style>
  <w:style w:type="paragraph" w:styleId="BodyText3">
    <w:name w:val="Body Text 3"/>
    <w:basedOn w:val="Normal"/>
    <w:semiHidden/>
    <w:rsid w:val="00A10CD5"/>
    <w:pPr>
      <w:spacing w:after="120"/>
    </w:pPr>
    <w:rPr>
      <w:sz w:val="16"/>
      <w:szCs w:val="16"/>
    </w:rPr>
  </w:style>
  <w:style w:type="paragraph" w:customStyle="1" w:styleId="DocumentNumber">
    <w:name w:val="Document Number"/>
    <w:basedOn w:val="DocumentFigureHeading"/>
    <w:next w:val="DocumentOutline"/>
    <w:rsid w:val="00791FA1"/>
    <w:pPr>
      <w:spacing w:before="0" w:after="960"/>
      <w:ind w:left="0"/>
      <w:jc w:val="center"/>
    </w:pPr>
  </w:style>
  <w:style w:type="paragraph" w:styleId="BodyTextFirstIndent">
    <w:name w:val="Body Text First Indent"/>
    <w:basedOn w:val="Normal"/>
    <w:semiHidden/>
    <w:rsid w:val="00A10CD5"/>
    <w:pPr>
      <w:spacing w:after="120"/>
      <w:ind w:firstLine="210"/>
    </w:pPr>
  </w:style>
  <w:style w:type="paragraph" w:styleId="BodyTextIndent">
    <w:name w:val="Body Text Indent"/>
    <w:basedOn w:val="Normal"/>
    <w:semiHidden/>
    <w:rsid w:val="00A10CD5"/>
    <w:pPr>
      <w:spacing w:after="120"/>
      <w:ind w:left="283"/>
    </w:pPr>
  </w:style>
  <w:style w:type="paragraph" w:styleId="BodyTextFirstIndent2">
    <w:name w:val="Body Text First Indent 2"/>
    <w:basedOn w:val="BodyTextIndent"/>
    <w:semiHidden/>
    <w:rsid w:val="00A10CD5"/>
    <w:pPr>
      <w:ind w:firstLine="210"/>
    </w:pPr>
  </w:style>
  <w:style w:type="paragraph" w:styleId="BodyTextIndent2">
    <w:name w:val="Body Text Indent 2"/>
    <w:basedOn w:val="Normal"/>
    <w:semiHidden/>
    <w:rsid w:val="00A10CD5"/>
    <w:pPr>
      <w:spacing w:after="120" w:line="480" w:lineRule="auto"/>
      <w:ind w:left="283"/>
    </w:pPr>
  </w:style>
  <w:style w:type="paragraph" w:styleId="BodyTextIndent3">
    <w:name w:val="Body Text Indent 3"/>
    <w:basedOn w:val="Normal"/>
    <w:semiHidden/>
    <w:rsid w:val="00A10CD5"/>
    <w:pPr>
      <w:spacing w:after="120"/>
      <w:ind w:left="283"/>
    </w:pPr>
    <w:rPr>
      <w:sz w:val="16"/>
      <w:szCs w:val="16"/>
    </w:rPr>
  </w:style>
  <w:style w:type="paragraph" w:styleId="Closing">
    <w:name w:val="Closing"/>
    <w:basedOn w:val="Normal"/>
    <w:semiHidden/>
    <w:rsid w:val="00A10CD5"/>
    <w:pPr>
      <w:ind w:left="4252"/>
    </w:pPr>
  </w:style>
  <w:style w:type="paragraph" w:styleId="Date">
    <w:name w:val="Date"/>
    <w:basedOn w:val="Normal"/>
    <w:next w:val="Normal"/>
    <w:semiHidden/>
    <w:rsid w:val="00A10CD5"/>
  </w:style>
  <w:style w:type="paragraph" w:styleId="E-mailSignature">
    <w:name w:val="E-mail Signature"/>
    <w:basedOn w:val="Normal"/>
    <w:semiHidden/>
    <w:rsid w:val="00A10CD5"/>
  </w:style>
  <w:style w:type="character" w:styleId="Emphasis">
    <w:name w:val="Emphasis"/>
    <w:basedOn w:val="DefaultParagraphFont"/>
    <w:qFormat/>
    <w:rsid w:val="00A10CD5"/>
    <w:rPr>
      <w:i/>
      <w:iCs/>
    </w:rPr>
  </w:style>
  <w:style w:type="paragraph" w:styleId="EnvelopeAddress">
    <w:name w:val="envelope address"/>
    <w:basedOn w:val="Normal"/>
    <w:semiHidden/>
    <w:rsid w:val="00A10CD5"/>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10CD5"/>
    <w:rPr>
      <w:rFonts w:ascii="Arial" w:hAnsi="Arial" w:cs="Arial"/>
      <w:sz w:val="20"/>
      <w:szCs w:val="20"/>
    </w:rPr>
  </w:style>
  <w:style w:type="character" w:styleId="FollowedHyperlink">
    <w:name w:val="FollowedHyperlink"/>
    <w:basedOn w:val="DefaultParagraphFont"/>
    <w:semiHidden/>
    <w:rsid w:val="00A10CD5"/>
    <w:rPr>
      <w:color w:val="800080"/>
      <w:u w:val="single"/>
    </w:rPr>
  </w:style>
  <w:style w:type="character" w:styleId="HTMLAcronym">
    <w:name w:val="HTML Acronym"/>
    <w:basedOn w:val="DefaultParagraphFont"/>
    <w:semiHidden/>
    <w:rsid w:val="00A10CD5"/>
  </w:style>
  <w:style w:type="paragraph" w:styleId="HTMLAddress">
    <w:name w:val="HTML Address"/>
    <w:basedOn w:val="Normal"/>
    <w:semiHidden/>
    <w:rsid w:val="00A10CD5"/>
    <w:rPr>
      <w:i/>
      <w:iCs/>
    </w:rPr>
  </w:style>
  <w:style w:type="character" w:styleId="HTMLCite">
    <w:name w:val="HTML Cite"/>
    <w:basedOn w:val="DefaultParagraphFont"/>
    <w:semiHidden/>
    <w:rsid w:val="00A10CD5"/>
    <w:rPr>
      <w:i/>
      <w:iCs/>
    </w:rPr>
  </w:style>
  <w:style w:type="character" w:styleId="HTMLCode">
    <w:name w:val="HTML Code"/>
    <w:basedOn w:val="DefaultParagraphFont"/>
    <w:semiHidden/>
    <w:rsid w:val="00A10CD5"/>
    <w:rPr>
      <w:rFonts w:ascii="Courier New" w:hAnsi="Courier New" w:cs="Courier New"/>
      <w:sz w:val="20"/>
      <w:szCs w:val="20"/>
    </w:rPr>
  </w:style>
  <w:style w:type="character" w:styleId="HTMLDefinition">
    <w:name w:val="HTML Definition"/>
    <w:basedOn w:val="DefaultParagraphFont"/>
    <w:semiHidden/>
    <w:rsid w:val="00A10CD5"/>
    <w:rPr>
      <w:i/>
      <w:iCs/>
    </w:rPr>
  </w:style>
  <w:style w:type="character" w:styleId="HTMLKeyboard">
    <w:name w:val="HTML Keyboard"/>
    <w:basedOn w:val="DefaultParagraphFont"/>
    <w:semiHidden/>
    <w:rsid w:val="00A10CD5"/>
    <w:rPr>
      <w:rFonts w:ascii="Courier New" w:hAnsi="Courier New" w:cs="Courier New"/>
      <w:sz w:val="20"/>
      <w:szCs w:val="20"/>
    </w:rPr>
  </w:style>
  <w:style w:type="paragraph" w:styleId="HTMLPreformatted">
    <w:name w:val="HTML Preformatted"/>
    <w:basedOn w:val="Normal"/>
    <w:semiHidden/>
    <w:rsid w:val="00A10CD5"/>
    <w:rPr>
      <w:rFonts w:ascii="Courier New" w:hAnsi="Courier New" w:cs="Courier New"/>
      <w:sz w:val="20"/>
      <w:szCs w:val="20"/>
    </w:rPr>
  </w:style>
  <w:style w:type="character" w:styleId="HTMLSample">
    <w:name w:val="HTML Sample"/>
    <w:basedOn w:val="DefaultParagraphFont"/>
    <w:semiHidden/>
    <w:rsid w:val="00A10CD5"/>
    <w:rPr>
      <w:rFonts w:ascii="Courier New" w:hAnsi="Courier New" w:cs="Courier New"/>
    </w:rPr>
  </w:style>
  <w:style w:type="character" w:styleId="HTMLTypewriter">
    <w:name w:val="HTML Typewriter"/>
    <w:basedOn w:val="DefaultParagraphFont"/>
    <w:semiHidden/>
    <w:rsid w:val="00A10CD5"/>
    <w:rPr>
      <w:rFonts w:ascii="Courier New" w:hAnsi="Courier New" w:cs="Courier New"/>
      <w:sz w:val="20"/>
      <w:szCs w:val="20"/>
    </w:rPr>
  </w:style>
  <w:style w:type="character" w:styleId="HTMLVariable">
    <w:name w:val="HTML Variable"/>
    <w:basedOn w:val="DefaultParagraphFont"/>
    <w:semiHidden/>
    <w:rsid w:val="00A10CD5"/>
    <w:rPr>
      <w:i/>
      <w:iCs/>
    </w:rPr>
  </w:style>
  <w:style w:type="character" w:styleId="LineNumber">
    <w:name w:val="line number"/>
    <w:basedOn w:val="DefaultParagraphFont"/>
    <w:semiHidden/>
    <w:rsid w:val="00A10CD5"/>
  </w:style>
  <w:style w:type="paragraph" w:styleId="List">
    <w:name w:val="List"/>
    <w:basedOn w:val="Normal"/>
    <w:semiHidden/>
    <w:rsid w:val="00A10CD5"/>
    <w:pPr>
      <w:ind w:left="283" w:hanging="283"/>
    </w:pPr>
  </w:style>
  <w:style w:type="paragraph" w:styleId="List2">
    <w:name w:val="List 2"/>
    <w:basedOn w:val="Normal"/>
    <w:semiHidden/>
    <w:rsid w:val="00A10CD5"/>
    <w:pPr>
      <w:ind w:left="566" w:hanging="283"/>
    </w:pPr>
  </w:style>
  <w:style w:type="paragraph" w:styleId="List3">
    <w:name w:val="List 3"/>
    <w:basedOn w:val="Normal"/>
    <w:semiHidden/>
    <w:rsid w:val="00A10CD5"/>
    <w:pPr>
      <w:ind w:left="849" w:hanging="283"/>
    </w:pPr>
  </w:style>
  <w:style w:type="paragraph" w:styleId="List4">
    <w:name w:val="List 4"/>
    <w:basedOn w:val="Normal"/>
    <w:semiHidden/>
    <w:rsid w:val="00A10CD5"/>
    <w:pPr>
      <w:ind w:left="1132" w:hanging="283"/>
    </w:pPr>
  </w:style>
  <w:style w:type="paragraph" w:styleId="List5">
    <w:name w:val="List 5"/>
    <w:basedOn w:val="Normal"/>
    <w:semiHidden/>
    <w:rsid w:val="00A10CD5"/>
    <w:pPr>
      <w:ind w:left="1415" w:hanging="283"/>
    </w:pPr>
  </w:style>
  <w:style w:type="paragraph" w:styleId="ListBullet">
    <w:name w:val="List Bullet"/>
    <w:basedOn w:val="Normal"/>
    <w:semiHidden/>
    <w:rsid w:val="00A10CD5"/>
    <w:pPr>
      <w:numPr>
        <w:numId w:val="3"/>
      </w:numPr>
    </w:pPr>
  </w:style>
  <w:style w:type="paragraph" w:styleId="ListBullet2">
    <w:name w:val="List Bullet 2"/>
    <w:basedOn w:val="Normal"/>
    <w:semiHidden/>
    <w:rsid w:val="00A10CD5"/>
    <w:pPr>
      <w:numPr>
        <w:numId w:val="4"/>
      </w:numPr>
    </w:pPr>
  </w:style>
  <w:style w:type="paragraph" w:styleId="ListBullet3">
    <w:name w:val="List Bullet 3"/>
    <w:basedOn w:val="Normal"/>
    <w:semiHidden/>
    <w:rsid w:val="00A10CD5"/>
    <w:pPr>
      <w:numPr>
        <w:numId w:val="5"/>
      </w:numPr>
    </w:pPr>
  </w:style>
  <w:style w:type="paragraph" w:styleId="ListBullet4">
    <w:name w:val="List Bullet 4"/>
    <w:basedOn w:val="Normal"/>
    <w:semiHidden/>
    <w:rsid w:val="00A10CD5"/>
    <w:pPr>
      <w:numPr>
        <w:numId w:val="6"/>
      </w:numPr>
    </w:pPr>
  </w:style>
  <w:style w:type="paragraph" w:styleId="ListBullet5">
    <w:name w:val="List Bullet 5"/>
    <w:basedOn w:val="Normal"/>
    <w:semiHidden/>
    <w:rsid w:val="00A10CD5"/>
    <w:pPr>
      <w:numPr>
        <w:numId w:val="7"/>
      </w:numPr>
    </w:pPr>
  </w:style>
  <w:style w:type="paragraph" w:styleId="ListContinue">
    <w:name w:val="List Continue"/>
    <w:basedOn w:val="Normal"/>
    <w:semiHidden/>
    <w:rsid w:val="00A10CD5"/>
    <w:pPr>
      <w:spacing w:after="120"/>
      <w:ind w:left="283"/>
    </w:pPr>
  </w:style>
  <w:style w:type="paragraph" w:styleId="ListContinue2">
    <w:name w:val="List Continue 2"/>
    <w:basedOn w:val="Normal"/>
    <w:semiHidden/>
    <w:rsid w:val="00A10CD5"/>
    <w:pPr>
      <w:spacing w:after="120"/>
      <w:ind w:left="566"/>
    </w:pPr>
  </w:style>
  <w:style w:type="paragraph" w:styleId="ListContinue3">
    <w:name w:val="List Continue 3"/>
    <w:basedOn w:val="Normal"/>
    <w:semiHidden/>
    <w:rsid w:val="00A10CD5"/>
    <w:pPr>
      <w:spacing w:after="120"/>
      <w:ind w:left="849"/>
    </w:pPr>
  </w:style>
  <w:style w:type="paragraph" w:styleId="ListContinue4">
    <w:name w:val="List Continue 4"/>
    <w:basedOn w:val="Normal"/>
    <w:semiHidden/>
    <w:rsid w:val="00A10CD5"/>
    <w:pPr>
      <w:spacing w:after="120"/>
      <w:ind w:left="1132"/>
    </w:pPr>
  </w:style>
  <w:style w:type="paragraph" w:styleId="ListContinue5">
    <w:name w:val="List Continue 5"/>
    <w:basedOn w:val="Normal"/>
    <w:semiHidden/>
    <w:rsid w:val="00A10CD5"/>
    <w:pPr>
      <w:spacing w:after="120"/>
      <w:ind w:left="1415"/>
    </w:pPr>
  </w:style>
  <w:style w:type="paragraph" w:styleId="ListNumber">
    <w:name w:val="List Number"/>
    <w:basedOn w:val="Normal"/>
    <w:semiHidden/>
    <w:rsid w:val="00A10CD5"/>
    <w:pPr>
      <w:numPr>
        <w:numId w:val="8"/>
      </w:numPr>
    </w:pPr>
  </w:style>
  <w:style w:type="paragraph" w:styleId="ListNumber2">
    <w:name w:val="List Number 2"/>
    <w:basedOn w:val="Normal"/>
    <w:semiHidden/>
    <w:rsid w:val="00A10CD5"/>
    <w:pPr>
      <w:numPr>
        <w:numId w:val="9"/>
      </w:numPr>
    </w:pPr>
  </w:style>
  <w:style w:type="paragraph" w:styleId="ListNumber3">
    <w:name w:val="List Number 3"/>
    <w:basedOn w:val="Normal"/>
    <w:semiHidden/>
    <w:rsid w:val="00A10CD5"/>
    <w:pPr>
      <w:numPr>
        <w:numId w:val="10"/>
      </w:numPr>
    </w:pPr>
  </w:style>
  <w:style w:type="paragraph" w:styleId="ListNumber4">
    <w:name w:val="List Number 4"/>
    <w:basedOn w:val="Normal"/>
    <w:semiHidden/>
    <w:rsid w:val="00A10CD5"/>
    <w:pPr>
      <w:numPr>
        <w:numId w:val="11"/>
      </w:numPr>
    </w:pPr>
  </w:style>
  <w:style w:type="paragraph" w:styleId="ListNumber5">
    <w:name w:val="List Number 5"/>
    <w:basedOn w:val="Normal"/>
    <w:semiHidden/>
    <w:rsid w:val="00A10CD5"/>
    <w:pPr>
      <w:numPr>
        <w:numId w:val="12"/>
      </w:numPr>
    </w:pPr>
  </w:style>
  <w:style w:type="paragraph" w:styleId="MessageHeader">
    <w:name w:val="Message Header"/>
    <w:basedOn w:val="Normal"/>
    <w:semiHidden/>
    <w:rsid w:val="00A10C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A10CD5"/>
  </w:style>
  <w:style w:type="paragraph" w:styleId="NormalIndent">
    <w:name w:val="Normal Indent"/>
    <w:basedOn w:val="Normal"/>
    <w:semiHidden/>
    <w:rsid w:val="00A10CD5"/>
    <w:pPr>
      <w:ind w:left="720"/>
    </w:pPr>
  </w:style>
  <w:style w:type="paragraph" w:styleId="NoteHeading">
    <w:name w:val="Note Heading"/>
    <w:basedOn w:val="Normal"/>
    <w:next w:val="Normal"/>
    <w:semiHidden/>
    <w:rsid w:val="00A10CD5"/>
  </w:style>
  <w:style w:type="paragraph" w:styleId="PlainText">
    <w:name w:val="Plain Text"/>
    <w:basedOn w:val="Normal"/>
    <w:semiHidden/>
    <w:rsid w:val="00A10CD5"/>
    <w:rPr>
      <w:rFonts w:ascii="Courier New" w:hAnsi="Courier New" w:cs="Courier New"/>
      <w:sz w:val="20"/>
      <w:szCs w:val="20"/>
    </w:rPr>
  </w:style>
  <w:style w:type="paragraph" w:styleId="Salutation">
    <w:name w:val="Salutation"/>
    <w:basedOn w:val="Normal"/>
    <w:next w:val="Normal"/>
    <w:semiHidden/>
    <w:rsid w:val="00A10CD5"/>
  </w:style>
  <w:style w:type="paragraph" w:styleId="Signature">
    <w:name w:val="Signature"/>
    <w:basedOn w:val="Normal"/>
    <w:semiHidden/>
    <w:rsid w:val="00A10CD5"/>
    <w:pPr>
      <w:ind w:left="4252"/>
    </w:pPr>
  </w:style>
  <w:style w:type="character" w:styleId="Strong">
    <w:name w:val="Strong"/>
    <w:basedOn w:val="DefaultParagraphFont"/>
    <w:qFormat/>
    <w:rsid w:val="00A10CD5"/>
    <w:rPr>
      <w:b/>
      <w:bCs/>
    </w:rPr>
  </w:style>
  <w:style w:type="paragraph" w:styleId="Subtitle">
    <w:name w:val="Subtitle"/>
    <w:basedOn w:val="Normal"/>
    <w:qFormat/>
    <w:rsid w:val="00A10CD5"/>
    <w:pPr>
      <w:spacing w:after="60"/>
      <w:jc w:val="center"/>
      <w:outlineLvl w:val="1"/>
    </w:pPr>
    <w:rPr>
      <w:rFonts w:ascii="Arial" w:hAnsi="Arial" w:cs="Arial"/>
    </w:rPr>
  </w:style>
  <w:style w:type="table" w:styleId="Table3Deffects1">
    <w:name w:val="Table 3D effects 1"/>
    <w:basedOn w:val="TableNormal"/>
    <w:semiHidden/>
    <w:rsid w:val="00A10CD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10CD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10CD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10CD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10CD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10CD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10CD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10CD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10CD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10CD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10CD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10CD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10CD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10CD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10CD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10CD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10CD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10CD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10CD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10CD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10CD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10CD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10CD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10CD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10C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10CD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10CD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10CD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10CD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10CD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10CD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10CD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10CD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10CD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10CD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10CD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10CD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10CD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10CD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10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10CD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10CD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10CD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10CD5"/>
    <w:pPr>
      <w:spacing w:before="240" w:after="60"/>
      <w:jc w:val="center"/>
      <w:outlineLvl w:val="0"/>
    </w:pPr>
    <w:rPr>
      <w:rFonts w:ascii="Arial" w:hAnsi="Arial" w:cs="Arial"/>
      <w:b/>
      <w:bCs/>
      <w:kern w:val="28"/>
      <w:sz w:val="32"/>
      <w:szCs w:val="32"/>
    </w:rPr>
  </w:style>
  <w:style w:type="paragraph" w:customStyle="1" w:styleId="CoverNote">
    <w:name w:val="Cover Note"/>
    <w:basedOn w:val="Normal"/>
    <w:rsid w:val="00EB75C1"/>
    <w:pPr>
      <w:framePr w:w="9639" w:hSpace="181" w:wrap="notBeside" w:vAnchor="page" w:hAnchor="page" w:x="1135" w:y="15310"/>
      <w:spacing w:line="220" w:lineRule="atLeast"/>
      <w:jc w:val="center"/>
    </w:pPr>
    <w:rPr>
      <w:rFonts w:ascii="Arial" w:hAnsi="Arial"/>
      <w:sz w:val="16"/>
      <w:szCs w:val="20"/>
    </w:rPr>
  </w:style>
  <w:style w:type="paragraph" w:styleId="TOC1">
    <w:name w:val="toc 1"/>
    <w:basedOn w:val="DocumentContents"/>
    <w:next w:val="DocumentContents"/>
    <w:rsid w:val="00691109"/>
  </w:style>
  <w:style w:type="paragraph" w:styleId="TOC2">
    <w:name w:val="toc 2"/>
    <w:basedOn w:val="DocumentContents"/>
    <w:next w:val="Normal"/>
    <w:rsid w:val="002F65EA"/>
  </w:style>
  <w:style w:type="paragraph" w:styleId="TOC3">
    <w:name w:val="toc 3"/>
    <w:basedOn w:val="DocumentContents"/>
    <w:next w:val="DocumentContents"/>
    <w:rsid w:val="002F65EA"/>
  </w:style>
  <w:style w:type="paragraph" w:styleId="TOC4">
    <w:name w:val="toc 4"/>
    <w:basedOn w:val="DocumentContents"/>
    <w:next w:val="DocumentContents"/>
    <w:semiHidden/>
    <w:rsid w:val="002F65EA"/>
    <w:pPr>
      <w:ind w:firstLine="0"/>
    </w:pPr>
  </w:style>
  <w:style w:type="paragraph" w:styleId="BalloonText">
    <w:name w:val="Balloon Text"/>
    <w:basedOn w:val="Normal"/>
    <w:link w:val="BalloonTextChar"/>
    <w:rsid w:val="001C5F15"/>
    <w:rPr>
      <w:rFonts w:ascii="Tahoma" w:hAnsi="Tahoma" w:cs="Tahoma"/>
      <w:sz w:val="16"/>
      <w:szCs w:val="16"/>
    </w:rPr>
  </w:style>
  <w:style w:type="character" w:customStyle="1" w:styleId="BalloonTextChar">
    <w:name w:val="Balloon Text Char"/>
    <w:basedOn w:val="DefaultParagraphFont"/>
    <w:link w:val="BalloonText"/>
    <w:rsid w:val="001C5F15"/>
    <w:rPr>
      <w:rFonts w:ascii="Tahoma" w:hAnsi="Tahoma" w:cs="Tahoma"/>
      <w:sz w:val="16"/>
      <w:szCs w:val="16"/>
      <w:lang w:val="en-US" w:eastAsia="en-US"/>
    </w:rPr>
  </w:style>
  <w:style w:type="paragraph" w:customStyle="1" w:styleId="Default">
    <w:name w:val="Default"/>
    <w:rsid w:val="004A55DE"/>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AD5815"/>
  </w:style>
  <w:style w:type="paragraph" w:styleId="ListParagraph">
    <w:name w:val="List Paragraph"/>
    <w:basedOn w:val="Normal"/>
    <w:uiPriority w:val="34"/>
    <w:qFormat/>
    <w:rsid w:val="00F14655"/>
    <w:pPr>
      <w:spacing w:after="200" w:line="276"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901798">
      <w:bodyDiv w:val="1"/>
      <w:marLeft w:val="0"/>
      <w:marRight w:val="0"/>
      <w:marTop w:val="0"/>
      <w:marBottom w:val="0"/>
      <w:divBdr>
        <w:top w:val="none" w:sz="0" w:space="0" w:color="auto"/>
        <w:left w:val="none" w:sz="0" w:space="0" w:color="auto"/>
        <w:bottom w:val="none" w:sz="0" w:space="0" w:color="auto"/>
        <w:right w:val="none" w:sz="0" w:space="0" w:color="auto"/>
      </w:divBdr>
    </w:div>
    <w:div w:id="772282370">
      <w:bodyDiv w:val="1"/>
      <w:marLeft w:val="0"/>
      <w:marRight w:val="0"/>
      <w:marTop w:val="0"/>
      <w:marBottom w:val="0"/>
      <w:divBdr>
        <w:top w:val="none" w:sz="0" w:space="0" w:color="auto"/>
        <w:left w:val="none" w:sz="0" w:space="0" w:color="auto"/>
        <w:bottom w:val="none" w:sz="0" w:space="0" w:color="auto"/>
        <w:right w:val="none" w:sz="0" w:space="0" w:color="auto"/>
      </w:divBdr>
    </w:div>
    <w:div w:id="772287453">
      <w:bodyDiv w:val="1"/>
      <w:marLeft w:val="0"/>
      <w:marRight w:val="0"/>
      <w:marTop w:val="0"/>
      <w:marBottom w:val="0"/>
      <w:divBdr>
        <w:top w:val="none" w:sz="0" w:space="0" w:color="auto"/>
        <w:left w:val="none" w:sz="0" w:space="0" w:color="auto"/>
        <w:bottom w:val="none" w:sz="0" w:space="0" w:color="auto"/>
        <w:right w:val="none" w:sz="0" w:space="0" w:color="auto"/>
      </w:divBdr>
    </w:div>
    <w:div w:id="926382657">
      <w:bodyDiv w:val="1"/>
      <w:marLeft w:val="0"/>
      <w:marRight w:val="0"/>
      <w:marTop w:val="0"/>
      <w:marBottom w:val="0"/>
      <w:divBdr>
        <w:top w:val="none" w:sz="0" w:space="0" w:color="auto"/>
        <w:left w:val="none" w:sz="0" w:space="0" w:color="auto"/>
        <w:bottom w:val="none" w:sz="0" w:space="0" w:color="auto"/>
        <w:right w:val="none" w:sz="0" w:space="0" w:color="auto"/>
      </w:divBdr>
    </w:div>
    <w:div w:id="1151024809">
      <w:bodyDiv w:val="1"/>
      <w:marLeft w:val="0"/>
      <w:marRight w:val="0"/>
      <w:marTop w:val="0"/>
      <w:marBottom w:val="0"/>
      <w:divBdr>
        <w:top w:val="none" w:sz="0" w:space="0" w:color="auto"/>
        <w:left w:val="none" w:sz="0" w:space="0" w:color="auto"/>
        <w:bottom w:val="none" w:sz="0" w:space="0" w:color="auto"/>
        <w:right w:val="none" w:sz="0" w:space="0" w:color="auto"/>
      </w:divBdr>
    </w:div>
    <w:div w:id="1310016899">
      <w:bodyDiv w:val="1"/>
      <w:marLeft w:val="0"/>
      <w:marRight w:val="0"/>
      <w:marTop w:val="0"/>
      <w:marBottom w:val="0"/>
      <w:divBdr>
        <w:top w:val="none" w:sz="0" w:space="0" w:color="auto"/>
        <w:left w:val="none" w:sz="0" w:space="0" w:color="auto"/>
        <w:bottom w:val="none" w:sz="0" w:space="0" w:color="auto"/>
        <w:right w:val="none" w:sz="0" w:space="0" w:color="auto"/>
      </w:divBdr>
      <w:divsChild>
        <w:div w:id="813913239">
          <w:marLeft w:val="0"/>
          <w:marRight w:val="0"/>
          <w:marTop w:val="0"/>
          <w:marBottom w:val="0"/>
          <w:divBdr>
            <w:top w:val="none" w:sz="0" w:space="0" w:color="auto"/>
            <w:left w:val="none" w:sz="0" w:space="0" w:color="auto"/>
            <w:bottom w:val="none" w:sz="0" w:space="0" w:color="auto"/>
            <w:right w:val="none" w:sz="0" w:space="0" w:color="auto"/>
          </w:divBdr>
          <w:divsChild>
            <w:div w:id="115614564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28445423">
      <w:bodyDiv w:val="1"/>
      <w:marLeft w:val="0"/>
      <w:marRight w:val="0"/>
      <w:marTop w:val="0"/>
      <w:marBottom w:val="0"/>
      <w:divBdr>
        <w:top w:val="none" w:sz="0" w:space="0" w:color="auto"/>
        <w:left w:val="none" w:sz="0" w:space="0" w:color="auto"/>
        <w:bottom w:val="none" w:sz="0" w:space="0" w:color="auto"/>
        <w:right w:val="none" w:sz="0" w:space="0" w:color="auto"/>
      </w:divBdr>
    </w:div>
    <w:div w:id="1940872559">
      <w:bodyDiv w:val="1"/>
      <w:marLeft w:val="0"/>
      <w:marRight w:val="0"/>
      <w:marTop w:val="0"/>
      <w:marBottom w:val="0"/>
      <w:divBdr>
        <w:top w:val="none" w:sz="0" w:space="0" w:color="auto"/>
        <w:left w:val="none" w:sz="0" w:space="0" w:color="auto"/>
        <w:bottom w:val="none" w:sz="0" w:space="0" w:color="auto"/>
        <w:right w:val="none" w:sz="0" w:space="0" w:color="auto"/>
      </w:divBdr>
      <w:divsChild>
        <w:div w:id="1871995203">
          <w:marLeft w:val="0"/>
          <w:marRight w:val="0"/>
          <w:marTop w:val="0"/>
          <w:marBottom w:val="0"/>
          <w:divBdr>
            <w:top w:val="none" w:sz="0" w:space="0" w:color="auto"/>
            <w:left w:val="none" w:sz="0" w:space="0" w:color="auto"/>
            <w:bottom w:val="none" w:sz="0" w:space="0" w:color="auto"/>
            <w:right w:val="none" w:sz="0" w:space="0" w:color="auto"/>
          </w:divBdr>
          <w:divsChild>
            <w:div w:id="195285938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aew.com/~/media/corporate/files/about%20icaew/what%20we%20do/protecting%20the%20public/complaints%20process/how%20we%20investigate%20complaints%20booklet.ash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arb.ie/Documents/Support%20and%20Guidance/Insolvencysandg/FINAL%20Disciplinary%20Regulations%2005101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gif"/></Relationships>
</file>

<file path=word/_rels/footnotes.xml.rels><?xml version="1.0" encoding="UTF-8" standalone="yes"?>
<Relationships xmlns="http://schemas.openxmlformats.org/package/2006/relationships"><Relationship Id="rId8" Type="http://schemas.openxmlformats.org/officeDocument/2006/relationships/hyperlink" Target="http://www.carb.ie/Documents/Support%20and%20Guidance/Insolvencysandg/FINAL%20Disciplinary%20Regulations%20051015.pdf" TargetMode="External"/><Relationship Id="rId13" Type="http://schemas.openxmlformats.org/officeDocument/2006/relationships/hyperlink" Target="http://www.icaew.com/en/about-icaew/what-we-do/act-in-the-public-interest/complaints-process/faqs-on-the-disciplinary-process-for-members" TargetMode="External"/><Relationship Id="rId18" Type="http://schemas.openxmlformats.org/officeDocument/2006/relationships/hyperlink" Target="http://www.mpts-uk.org/decisions/1656.asp" TargetMode="External"/><Relationship Id="rId26" Type="http://schemas.openxmlformats.org/officeDocument/2006/relationships/hyperlink" Target="http://www.ccwales.org.uk/how-to-complain-about-a-worker/" TargetMode="External"/><Relationship Id="rId3" Type="http://schemas.openxmlformats.org/officeDocument/2006/relationships/hyperlink" Target="http://www.carb.ie/Documents/Support%20and%20Guidance/Insolvencysandg/FINAL%20Disciplinary%20Regulations%20051015.pdf" TargetMode="External"/><Relationship Id="rId21" Type="http://schemas.openxmlformats.org/officeDocument/2006/relationships/hyperlink" Target="https://www.medicalcouncil.ie/Public-Information/Making-a-Complaint-/Fitness-to-Practise-Inquiries/" TargetMode="External"/><Relationship Id="rId34" Type="http://schemas.openxmlformats.org/officeDocument/2006/relationships/hyperlink" Target="http://www.carb.ie/Documents/Support%20and%20Guidance/Insolvencysandg/FINAL%20Disciplinary%20Regulations%20051015.pdf" TargetMode="External"/><Relationship Id="rId7" Type="http://schemas.openxmlformats.org/officeDocument/2006/relationships/hyperlink" Target="http://www.carb.ie/Documents/Support%20and%20Guidance/Insolvencysandg/FINAL%20Disciplinary%20Regulations%20051015.pdf" TargetMode="External"/><Relationship Id="rId12" Type="http://schemas.openxmlformats.org/officeDocument/2006/relationships/hyperlink" Target="https://www.icas.com/__data/assets/pdf_file/0010/2116/Helpsheet-General-Complaints-complainers.pdf" TargetMode="External"/><Relationship Id="rId17" Type="http://schemas.openxmlformats.org/officeDocument/2006/relationships/hyperlink" Target="http://www.mpts-uk.org/about/1526.asp" TargetMode="External"/><Relationship Id="rId25" Type="http://schemas.openxmlformats.org/officeDocument/2006/relationships/hyperlink" Target="http://www.sssc.uk.com/about-the-sssc/governance/committees-and-sub-committees" TargetMode="External"/><Relationship Id="rId33" Type="http://schemas.openxmlformats.org/officeDocument/2006/relationships/hyperlink" Target="http://www.coru.ie/en/public/guide_to_fitness_to_practise" TargetMode="External"/><Relationship Id="rId2" Type="http://schemas.openxmlformats.org/officeDocument/2006/relationships/hyperlink" Target="http://www.carb.ie/en/Public-Information/News/News-2015/New-Disciplinary-Bye-Laws/" TargetMode="External"/><Relationship Id="rId16" Type="http://schemas.openxmlformats.org/officeDocument/2006/relationships/hyperlink" Target="http://www.gmcuk.org/concerns/the_investigation_process/investigating_concerns.asp" TargetMode="External"/><Relationship Id="rId20" Type="http://schemas.openxmlformats.org/officeDocument/2006/relationships/hyperlink" Target="http://www.medicalcouncil.ie/About-Us/Medical-Council-Committees/Preliminary-Proceedings-Committee.html" TargetMode="External"/><Relationship Id="rId29" Type="http://schemas.openxmlformats.org/officeDocument/2006/relationships/hyperlink" Target="http://www.hcpc-uk.org/complaints/raiseaconcern/investigations/" TargetMode="External"/><Relationship Id="rId1" Type="http://schemas.openxmlformats.org/officeDocument/2006/relationships/hyperlink" Target="http://www.carb.ie/Documents/Rules%20and%20Regulations/Disciplinary/Draft%20Guide%20to%20the%20Disciplinary%20Process.pdf" TargetMode="External"/><Relationship Id="rId6" Type="http://schemas.openxmlformats.org/officeDocument/2006/relationships/hyperlink" Target="http://www.carb.ie/Documents/Support%20and%20Guidance/Insolvencysandg/FINAL%20Disciplinary%20Regulations%20051015.pdf" TargetMode="External"/><Relationship Id="rId11" Type="http://schemas.openxmlformats.org/officeDocument/2006/relationships/hyperlink" Target="http://www.carb.ie/Documents/Rules%20and%20Regulations/Disciplinary/Draft%20Guide%20to%20the%20Disciplinary%20Process.pdf" TargetMode="External"/><Relationship Id="rId24" Type="http://schemas.openxmlformats.org/officeDocument/2006/relationships/hyperlink" Target="http://www.sssc.uk.com/fitness-to-practise/investigation-process/our-process" TargetMode="External"/><Relationship Id="rId32" Type="http://schemas.openxmlformats.org/officeDocument/2006/relationships/hyperlink" Target="http://www.coru.ie/en/public/guide_to_fitness_to_practise" TargetMode="External"/><Relationship Id="rId5" Type="http://schemas.openxmlformats.org/officeDocument/2006/relationships/hyperlink" Target="http://www.carb.ie/Documents/Support%20and%20Guidance/Insolvencysandg/FINAL%20Disciplinary%20Regulations%20051015.pdf" TargetMode="External"/><Relationship Id="rId15" Type="http://schemas.openxmlformats.org/officeDocument/2006/relationships/hyperlink" Target="http://www.icaew.com/en/about-icaew/what-we-do/act-in-the-public-interest/complaints-process/faqs-on-the-disciplinary-process-for-members" TargetMode="External"/><Relationship Id="rId23" Type="http://schemas.openxmlformats.org/officeDocument/2006/relationships/hyperlink" Target="https://www.medicalcouncil.ie/Public-Information/Making-a-Complaint-/Fitness-to-Practise-Inquiries/" TargetMode="External"/><Relationship Id="rId28" Type="http://schemas.openxmlformats.org/officeDocument/2006/relationships/hyperlink" Target="http://www.hcpc-uk.org/complaints/raiseaconcern/investigations/" TargetMode="External"/><Relationship Id="rId10" Type="http://schemas.openxmlformats.org/officeDocument/2006/relationships/hyperlink" Target="http://www.carb.ie/Documents/Support%20and%20Guidance/Insolvencysandg/FINAL%20Disciplinary%20Regulations%20051015.pdf" TargetMode="External"/><Relationship Id="rId19" Type="http://schemas.openxmlformats.org/officeDocument/2006/relationships/hyperlink" Target="http://www.mpts-uk.org/hearing/interim_order_panel_referrals.asp" TargetMode="External"/><Relationship Id="rId31" Type="http://schemas.openxmlformats.org/officeDocument/2006/relationships/hyperlink" Target="http://www.coru.ie/en/about_us/what_is_coru" TargetMode="External"/><Relationship Id="rId4" Type="http://schemas.openxmlformats.org/officeDocument/2006/relationships/hyperlink" Target="http://www.carb.ie/Documents/Support%20and%20Guidance/Insolvencysandg/FINAL%20Disciplinary%20Regulations%20051015.pdf" TargetMode="External"/><Relationship Id="rId9" Type="http://schemas.openxmlformats.org/officeDocument/2006/relationships/hyperlink" Target="http://www.carb.ie/Documents/Support%20and%20Guidance/Insolvencysandg/FINAL%20Disciplinary%20Regulations%20051015.pdf" TargetMode="External"/><Relationship Id="rId14" Type="http://schemas.openxmlformats.org/officeDocument/2006/relationships/hyperlink" Target="http://www.icaew.com/en/about-icaew/what-we-do/act-in-the-public-interest/complaints-process/faqs-on-the-disciplinary-process-for-members" TargetMode="External"/><Relationship Id="rId22" Type="http://schemas.openxmlformats.org/officeDocument/2006/relationships/hyperlink" Target="http://www.medicalcouncil.ie/About-Us/Medical-Council-Committees/Preliminary-Proceedings-Committee.html" TargetMode="External"/><Relationship Id="rId27" Type="http://schemas.openxmlformats.org/officeDocument/2006/relationships/hyperlink" Target="http://www.ccwales.org.uk/appeals-fitness-to-practice-rules-2014/" TargetMode="External"/><Relationship Id="rId30" Type="http://schemas.openxmlformats.org/officeDocument/2006/relationships/hyperlink" Target="http://www.hpc-uk.org/complaints/hearings/afterthehe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caulj\Documents\John\Complaints%20procedures\Research%20and%20Information%20-%20Briefing%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1721C-A7C9-46E0-B187-58840EA3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Research and Information - Briefing Paper.dotx</Template>
  <TotalTime>481</TotalTime>
  <Pages>25</Pages>
  <Words>6058</Words>
  <Characters>34533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April 2009</vt:lpstr>
    </vt:vector>
  </TitlesOfParts>
  <Company>The Stationery Office Ltd</Company>
  <LinksUpToDate>false</LinksUpToDate>
  <CharactersWithSpaces>40510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2009</dc:title>
  <dc:creator>John Mc Caul</dc:creator>
  <cp:lastModifiedBy>mccaulj</cp:lastModifiedBy>
  <cp:revision>60</cp:revision>
  <cp:lastPrinted>2015-11-09T12:03:00Z</cp:lastPrinted>
  <dcterms:created xsi:type="dcterms:W3CDTF">2015-11-09T11:01:00Z</dcterms:created>
  <dcterms:modified xsi:type="dcterms:W3CDTF">2015-11-10T10:59:00Z</dcterms:modified>
</cp:coreProperties>
</file>