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F50381" w14:textId="7750C061" w:rsidR="008C550E" w:rsidRDefault="005D1819" w:rsidP="00152C24">
      <w:pPr>
        <w:pStyle w:val="DocumentDate"/>
        <w:tabs>
          <w:tab w:val="center" w:pos="4536"/>
          <w:tab w:val="right" w:pos="9070"/>
        </w:tabs>
        <w:spacing w:before="0" w:after="360"/>
        <w:ind w:left="0"/>
        <w:jc w:val="left"/>
        <w:sectPr w:rsidR="008C550E" w:rsidSect="008C550E">
          <w:headerReference w:type="default" r:id="rId8"/>
          <w:footerReference w:type="default" r:id="rId9"/>
          <w:headerReference w:type="first" r:id="rId10"/>
          <w:footerReference w:type="first" r:id="rId11"/>
          <w:pgSz w:w="11906" w:h="16838" w:code="9"/>
          <w:pgMar w:top="1418" w:right="1418" w:bottom="1418" w:left="1418" w:header="0" w:footer="567" w:gutter="0"/>
          <w:cols w:space="708"/>
          <w:titlePg/>
          <w:docGrid w:linePitch="360"/>
        </w:sectPr>
      </w:pPr>
      <w:bookmarkStart w:id="0" w:name="_Hlk178840539"/>
      <w:bookmarkEnd w:id="0"/>
      <w:r>
        <w:tab/>
      </w:r>
      <w:r>
        <w:tab/>
      </w:r>
      <w:r w:rsidR="00EE5D97">
        <w:t>4 October</w:t>
      </w:r>
      <w:r w:rsidR="00512F3E">
        <w:t xml:space="preserve"> 2024</w:t>
      </w:r>
      <w:r w:rsidR="008565A5">
        <w:tab/>
        <w:t xml:space="preserve">NIAR </w:t>
      </w:r>
      <w:r>
        <w:t>151-24</w:t>
      </w:r>
    </w:p>
    <w:p w14:paraId="4CC3FAE5" w14:textId="74279570" w:rsidR="0093362C" w:rsidRDefault="00AE328D" w:rsidP="00B15E45">
      <w:pPr>
        <w:pStyle w:val="Heading1"/>
      </w:pPr>
      <w:r>
        <w:t xml:space="preserve">The </w:t>
      </w:r>
      <w:r w:rsidR="00E90AE8">
        <w:t xml:space="preserve">Current </w:t>
      </w:r>
      <w:r>
        <w:t>Financial Services Landscape in Northern Ireland: preliminary consideration</w:t>
      </w:r>
      <w:r w:rsidR="00AA4B27">
        <w:t>s</w:t>
      </w:r>
    </w:p>
    <w:p w14:paraId="7D0D1A77" w14:textId="43A6E4D4" w:rsidR="006F689A" w:rsidRPr="00B15E45" w:rsidRDefault="00EE5D97" w:rsidP="00B15E45">
      <w:pPr>
        <w:pStyle w:val="DocAuthor"/>
      </w:pPr>
      <w:r>
        <w:t>RaISe</w:t>
      </w:r>
    </w:p>
    <w:p w14:paraId="31CFB279" w14:textId="3657BA0D" w:rsidR="006F689A" w:rsidRDefault="00EE5D97" w:rsidP="00B15E45">
      <w:pPr>
        <w:pStyle w:val="NormalCentered"/>
      </w:pPr>
      <w:r>
        <w:t>This Briefing Paper presents an overview of the current financial services landscape in Northern Ireland</w:t>
      </w:r>
      <w:r w:rsidR="00E90AE8">
        <w:rPr>
          <w:lang w:val="en-GB" w:eastAsia="en-GB"/>
        </w:rPr>
        <w:t xml:space="preserve">, highlighting key </w:t>
      </w:r>
      <w:r w:rsidR="00E90AE8" w:rsidRPr="00E90AE8">
        <w:rPr>
          <w:lang w:val="en-GB"/>
        </w:rPr>
        <w:t xml:space="preserve">themes concerning access to cash </w:t>
      </w:r>
      <w:r w:rsidR="00E90AE8">
        <w:rPr>
          <w:lang w:val="en-GB"/>
        </w:rPr>
        <w:t xml:space="preserve">services </w:t>
      </w:r>
      <w:r w:rsidR="00E90AE8" w:rsidRPr="00E90AE8">
        <w:rPr>
          <w:lang w:val="en-GB"/>
        </w:rPr>
        <w:t>for customers, following recent bank branch</w:t>
      </w:r>
      <w:r w:rsidR="00E90AE8">
        <w:rPr>
          <w:lang w:val="en-GB"/>
        </w:rPr>
        <w:t xml:space="preserve"> closures.</w:t>
      </w:r>
    </w:p>
    <w:p w14:paraId="345710D3" w14:textId="0B2D3FF4" w:rsidR="000B4788" w:rsidRDefault="000B4788" w:rsidP="00B15E45">
      <w:pPr>
        <w:pStyle w:val="NormalCentered"/>
      </w:pPr>
    </w:p>
    <w:p w14:paraId="61FB2A30" w14:textId="77777777" w:rsidR="000B4788" w:rsidRDefault="000B4788" w:rsidP="00B15E45">
      <w:pPr>
        <w:pStyle w:val="NormalCentered"/>
      </w:pPr>
    </w:p>
    <w:p w14:paraId="70475079" w14:textId="77123185" w:rsidR="006F689A" w:rsidRDefault="006F689A" w:rsidP="0065622F">
      <w:pPr>
        <w:pStyle w:val="DisclaimerBox"/>
      </w:pPr>
      <w:r>
        <w:t xml:space="preserve">This information is provided to </w:t>
      </w:r>
      <w:r w:rsidRPr="00906C58">
        <w:t>Members</w:t>
      </w:r>
      <w:r>
        <w:t xml:space="preserve"> of the </w:t>
      </w:r>
      <w:r w:rsidRPr="0065622F">
        <w:t>Legislative Assembly (MLAs) in support of their duties, and is not intended to address the specific circumstances of any particular individual. It should not be relied upon as</w:t>
      </w:r>
      <w:r w:rsidR="00906C58" w:rsidRPr="0065622F">
        <w:t xml:space="preserve"> </w:t>
      </w:r>
      <w:r w:rsidRPr="0065622F">
        <w:t>professional legal advice, or as a substitute for it.</w:t>
      </w:r>
    </w:p>
    <w:p w14:paraId="7D000D34" w14:textId="49B2E40C" w:rsidR="00AA3CDC" w:rsidRDefault="00906C58" w:rsidP="00E90AE8">
      <w:pPr>
        <w:tabs>
          <w:tab w:val="clear" w:pos="567"/>
        </w:tabs>
        <w:spacing w:before="0" w:after="0" w:line="240" w:lineRule="auto"/>
        <w:ind w:left="0"/>
      </w:pPr>
      <w:r>
        <w:br w:type="page"/>
      </w:r>
      <w:r w:rsidR="00AA3CDC">
        <w:lastRenderedPageBreak/>
        <w:t>Key Points</w:t>
      </w:r>
    </w:p>
    <w:p w14:paraId="33AB6F74" w14:textId="413FA5CC" w:rsidR="00AA3CDC" w:rsidRDefault="00562A3A" w:rsidP="00302159">
      <w:pPr>
        <w:pStyle w:val="NormalBulletList"/>
        <w:rPr>
          <w:lang w:eastAsia="en-GB"/>
        </w:rPr>
      </w:pPr>
      <w:bookmarkStart w:id="1" w:name="_Hlk178847213"/>
      <w:r>
        <w:rPr>
          <w:lang w:eastAsia="en-GB"/>
        </w:rPr>
        <w:t>T</w:t>
      </w:r>
      <w:r w:rsidRPr="00562A3A">
        <w:rPr>
          <w:lang w:eastAsia="en-GB"/>
        </w:rPr>
        <w:t xml:space="preserve">he most currently available, in-depth analysis of the Northern Ireland financial services sector </w:t>
      </w:r>
      <w:r>
        <w:rPr>
          <w:lang w:eastAsia="en-GB"/>
        </w:rPr>
        <w:t xml:space="preserve">was </w:t>
      </w:r>
      <w:r w:rsidRPr="00562A3A">
        <w:rPr>
          <w:lang w:eastAsia="en-GB"/>
        </w:rPr>
        <w:t xml:space="preserve">published in 2020 by the Department for the </w:t>
      </w:r>
      <w:r>
        <w:rPr>
          <w:lang w:eastAsia="en-GB"/>
        </w:rPr>
        <w:t>E</w:t>
      </w:r>
      <w:r w:rsidRPr="00562A3A">
        <w:rPr>
          <w:lang w:eastAsia="en-GB"/>
        </w:rPr>
        <w:t>conomy</w:t>
      </w:r>
      <w:r>
        <w:rPr>
          <w:lang w:eastAsia="en-GB"/>
        </w:rPr>
        <w:t>.</w:t>
      </w:r>
    </w:p>
    <w:p w14:paraId="595453F7" w14:textId="39E24DAA" w:rsidR="00302159" w:rsidRPr="00F67E33" w:rsidRDefault="00562A3A" w:rsidP="00F67E33">
      <w:pPr>
        <w:pStyle w:val="NormalBulletList"/>
      </w:pPr>
      <w:r w:rsidRPr="00F67E33">
        <w:t xml:space="preserve">That report </w:t>
      </w:r>
      <w:r w:rsidR="00302159" w:rsidRPr="00F67E33">
        <w:t>identified banking</w:t>
      </w:r>
      <w:r w:rsidR="002301E9">
        <w:t xml:space="preserve"> </w:t>
      </w:r>
      <w:r w:rsidR="00302159" w:rsidRPr="00F67E33">
        <w:t>as the largest financial services employer with 10,000 staff working in 355 sites. Whilst banking counts for the majority of employment and office locations, the Fintech subsector is responsible for 15% of employment despite having a share of less than 2% of offices. According to the 2020 report, almost three quarters of all financial services roles in Northern Ireland were back/middle office facing.</w:t>
      </w:r>
    </w:p>
    <w:p w14:paraId="1D4FD120" w14:textId="6F967503" w:rsidR="00302159" w:rsidRPr="00F67E33" w:rsidRDefault="00302159" w:rsidP="00F67E33">
      <w:pPr>
        <w:pStyle w:val="NormalBulletList"/>
      </w:pPr>
      <w:r w:rsidRPr="00F67E33">
        <w:t>Analysis from the Consumer Council Northern Ireland in 2023 showed that across Northern Ireland,166 electoral wards have two or more banking services within their boundaries, 187 have just one banking service and 109 have no banking service at all.</w:t>
      </w:r>
    </w:p>
    <w:p w14:paraId="645E8E2A" w14:textId="5C81DEBF" w:rsidR="00302159" w:rsidRPr="00F67E33" w:rsidRDefault="00302159" w:rsidP="00F67E33">
      <w:pPr>
        <w:pStyle w:val="NormalBulletList"/>
      </w:pPr>
      <w:r w:rsidRPr="00F67E33">
        <w:t xml:space="preserve">The number of cash access points across all types in Northern Ireland (16,000) is below Scotland (50,000) and Wales </w:t>
      </w:r>
      <w:r w:rsidR="00F31F20">
        <w:t>(</w:t>
      </w:r>
      <w:r w:rsidRPr="00F67E33">
        <w:t>27,000).</w:t>
      </w:r>
    </w:p>
    <w:p w14:paraId="775B2E50" w14:textId="3ED17B6E" w:rsidR="00302159" w:rsidRPr="00F67E33" w:rsidRDefault="00302159" w:rsidP="00F67E33">
      <w:pPr>
        <w:pStyle w:val="NormalBulletList"/>
      </w:pPr>
      <w:r w:rsidRPr="00F67E33">
        <w:t xml:space="preserve">Two thirds of rural dwellers </w:t>
      </w:r>
      <w:r w:rsidR="003B32FE" w:rsidRPr="00F67E33">
        <w:t xml:space="preserve">living in the </w:t>
      </w:r>
      <w:r w:rsidRPr="00F67E33">
        <w:t xml:space="preserve">Antrim and Newtownabbey </w:t>
      </w:r>
      <w:r w:rsidR="003B32FE" w:rsidRPr="00F67E33">
        <w:t xml:space="preserve">District Council area, </w:t>
      </w:r>
      <w:r w:rsidRPr="00F67E33">
        <w:t>live more than one mile from free access to cash.</w:t>
      </w:r>
    </w:p>
    <w:p w14:paraId="2CAF906A" w14:textId="137DE4E4" w:rsidR="003B32FE" w:rsidRPr="00F67E33" w:rsidRDefault="003B32FE" w:rsidP="00F67E33">
      <w:pPr>
        <w:pStyle w:val="NormalBulletList"/>
      </w:pPr>
      <w:r w:rsidRPr="00F67E33">
        <w:t>In all District Council areas, with the exception of Belfast City and Ards &amp; North Down, roughly half of the people living in a rural location are more than one mile away from free access to cash services.</w:t>
      </w:r>
    </w:p>
    <w:p w14:paraId="5FC2C183" w14:textId="26500A49" w:rsidR="003B32FE" w:rsidRPr="00F67E33" w:rsidRDefault="003B32FE" w:rsidP="00F67E33">
      <w:pPr>
        <w:pStyle w:val="NormalBulletList"/>
      </w:pPr>
      <w:r w:rsidRPr="00F67E33">
        <w:t>In December 2021, the Bank of England reported that transactional cash use has fallen from over 50% of payments in 2010 to only 17% of all payments in 2020.</w:t>
      </w:r>
    </w:p>
    <w:p w14:paraId="2DBE0341" w14:textId="0F44BB26" w:rsidR="00F67E33" w:rsidRDefault="003B32FE" w:rsidP="00B75E75">
      <w:pPr>
        <w:pStyle w:val="NormalBulletList"/>
        <w:numPr>
          <w:ilvl w:val="0"/>
          <w:numId w:val="42"/>
        </w:numPr>
      </w:pPr>
      <w:r w:rsidRPr="00F67E33">
        <w:t xml:space="preserve">An analysis of bank closures across Northern Ireland from 2020 to early 2023 noted that 21% of consumers have seen their local bank close within the last three years. </w:t>
      </w:r>
    </w:p>
    <w:p w14:paraId="5A3EEE62" w14:textId="3FB21435" w:rsidR="003B32FE" w:rsidRPr="003B32FE" w:rsidRDefault="003B32FE" w:rsidP="00F67E33">
      <w:pPr>
        <w:pStyle w:val="NormalBulletList"/>
        <w:rPr>
          <w:rFonts w:cs="ITC Stone Sans Std Medium"/>
          <w:color w:val="000000"/>
          <w:sz w:val="36"/>
          <w:szCs w:val="32"/>
          <w:lang w:val="en-GB" w:eastAsia="en-GB"/>
        </w:rPr>
      </w:pPr>
      <w:r w:rsidRPr="00F67E33">
        <w:t xml:space="preserve">The </w:t>
      </w:r>
      <w:hyperlink r:id="rId12" w:history="1">
        <w:r w:rsidRPr="00F67E33">
          <w:rPr>
            <w:rStyle w:val="Hyperlink"/>
            <w:color w:val="auto"/>
            <w:u w:val="none"/>
          </w:rPr>
          <w:t>Financial Services and Markets Act 2023 (FSMA 2023)</w:t>
        </w:r>
      </w:hyperlink>
      <w:r w:rsidRPr="00F67E33">
        <w:t xml:space="preserve"> gives the Financial Conduct Authority (FCA) and the Bank of England powers to regulate retail cash access and wholesale cash distribution respectively</w:t>
      </w:r>
      <w:r>
        <w:t>.</w:t>
      </w:r>
    </w:p>
    <w:p w14:paraId="238D276D" w14:textId="6BFF64F7" w:rsidR="00F67E33" w:rsidRPr="00F67E33" w:rsidRDefault="00F67E33" w:rsidP="00F67E33">
      <w:pPr>
        <w:pStyle w:val="NormalBulletList"/>
        <w:rPr>
          <w:lang w:val="en-GB" w:eastAsia="en-GB"/>
        </w:rPr>
      </w:pPr>
      <w:r w:rsidRPr="00F67E33">
        <w:rPr>
          <w:lang w:val="en-GB" w:eastAsia="en-GB"/>
        </w:rPr>
        <w:lastRenderedPageBreak/>
        <w:t>In 2024, United Kingdom banks ha</w:t>
      </w:r>
      <w:r>
        <w:rPr>
          <w:lang w:val="en-GB" w:eastAsia="en-GB"/>
        </w:rPr>
        <w:t>ve</w:t>
      </w:r>
      <w:r w:rsidRPr="00F67E33">
        <w:rPr>
          <w:lang w:val="en-GB" w:eastAsia="en-GB"/>
        </w:rPr>
        <w:t xml:space="preserve"> committed </w:t>
      </w:r>
      <w:r w:rsidRPr="00F67E33">
        <w:rPr>
          <w:lang w:eastAsia="en-GB"/>
        </w:rPr>
        <w:t>to set up 350 banking hubs over the next five years to provide face-to-face high street services following the closures of local branches</w:t>
      </w:r>
      <w:r>
        <w:rPr>
          <w:lang w:eastAsia="en-GB"/>
        </w:rPr>
        <w:t>.</w:t>
      </w:r>
    </w:p>
    <w:p w14:paraId="3FD14799" w14:textId="7E50B4F6" w:rsidR="00F67E33" w:rsidRDefault="00F67E33" w:rsidP="00F67E33">
      <w:pPr>
        <w:pStyle w:val="NormalBulletList"/>
        <w:rPr>
          <w:lang w:val="en-GB" w:eastAsia="en-GB"/>
        </w:rPr>
      </w:pPr>
      <w:r w:rsidRPr="00F67E33">
        <w:rPr>
          <w:lang w:val="en-GB" w:eastAsia="en-GB"/>
        </w:rPr>
        <w:t>In Northern Ireland</w:t>
      </w:r>
      <w:r>
        <w:rPr>
          <w:lang w:val="en-GB" w:eastAsia="en-GB"/>
        </w:rPr>
        <w:t>,</w:t>
      </w:r>
      <w:r w:rsidRPr="00F67E33">
        <w:rPr>
          <w:lang w:val="en-GB" w:eastAsia="en-GB"/>
        </w:rPr>
        <w:t xml:space="preserve"> banking hubs are planned in Kilkeel, Newcastle, Comber, Warrenpoint and Portrush. However, at the time of writing only the </w:t>
      </w:r>
      <w:proofErr w:type="spellStart"/>
      <w:r w:rsidRPr="00F67E33">
        <w:rPr>
          <w:lang w:val="en-GB" w:eastAsia="en-GB"/>
        </w:rPr>
        <w:t>Kilkeel</w:t>
      </w:r>
      <w:proofErr w:type="spellEnd"/>
      <w:r w:rsidRPr="00F67E33">
        <w:rPr>
          <w:lang w:val="en-GB" w:eastAsia="en-GB"/>
        </w:rPr>
        <w:t xml:space="preserve"> </w:t>
      </w:r>
      <w:r w:rsidR="00A15DBC">
        <w:rPr>
          <w:lang w:val="en-GB" w:eastAsia="en-GB"/>
        </w:rPr>
        <w:t xml:space="preserve">and Portrush </w:t>
      </w:r>
      <w:r w:rsidRPr="00F67E33">
        <w:rPr>
          <w:lang w:val="en-GB" w:eastAsia="en-GB"/>
        </w:rPr>
        <w:t>hub</w:t>
      </w:r>
      <w:r w:rsidR="00A15DBC">
        <w:rPr>
          <w:lang w:val="en-GB" w:eastAsia="en-GB"/>
        </w:rPr>
        <w:t>s are</w:t>
      </w:r>
      <w:r w:rsidRPr="00F67E33">
        <w:rPr>
          <w:lang w:val="en-GB" w:eastAsia="en-GB"/>
        </w:rPr>
        <w:t xml:space="preserve"> operational.</w:t>
      </w:r>
    </w:p>
    <w:p w14:paraId="48886E23" w14:textId="08280882" w:rsidR="00F67E33" w:rsidRDefault="00F67E33" w:rsidP="00F67E33">
      <w:pPr>
        <w:pStyle w:val="NormalBulletList"/>
        <w:rPr>
          <w:lang w:val="en-GB" w:eastAsia="en-GB"/>
        </w:rPr>
      </w:pPr>
      <w:r>
        <w:rPr>
          <w:lang w:val="en-GB" w:eastAsia="en-GB"/>
        </w:rPr>
        <w:t xml:space="preserve">Credit Unions, Mutual and Community banks all have the potential to </w:t>
      </w:r>
      <w:r w:rsidRPr="00147EB0">
        <w:rPr>
          <w:lang w:val="en-GB"/>
        </w:rPr>
        <w:t xml:space="preserve">maintain </w:t>
      </w:r>
      <w:r>
        <w:rPr>
          <w:lang w:val="en-GB"/>
        </w:rPr>
        <w:t xml:space="preserve">access to </w:t>
      </w:r>
      <w:r w:rsidRPr="00147EB0">
        <w:rPr>
          <w:lang w:val="en-GB"/>
        </w:rPr>
        <w:t>cash services across</w:t>
      </w:r>
      <w:r>
        <w:rPr>
          <w:lang w:val="en-GB"/>
        </w:rPr>
        <w:t xml:space="preserve"> Northern Ireland.</w:t>
      </w:r>
    </w:p>
    <w:p w14:paraId="1DF75D55" w14:textId="19A7FC2E" w:rsidR="00F67E33" w:rsidRPr="00F67E33" w:rsidRDefault="00F67E33" w:rsidP="00F67E33">
      <w:pPr>
        <w:pStyle w:val="NormalBulletList"/>
        <w:rPr>
          <w:lang w:val="en-GB" w:eastAsia="en-GB"/>
        </w:rPr>
      </w:pPr>
      <w:r w:rsidRPr="00F67E33">
        <w:rPr>
          <w:lang w:val="en-GB" w:eastAsia="en-GB"/>
        </w:rPr>
        <w:t xml:space="preserve">FCA research </w:t>
      </w:r>
      <w:r>
        <w:rPr>
          <w:lang w:val="en-GB" w:eastAsia="en-GB"/>
        </w:rPr>
        <w:t xml:space="preserve">has </w:t>
      </w:r>
      <w:r w:rsidRPr="00F67E33">
        <w:rPr>
          <w:lang w:val="en-GB" w:eastAsia="en-GB"/>
        </w:rPr>
        <w:t xml:space="preserve">found that </w:t>
      </w:r>
      <w:r w:rsidRPr="00F67E33">
        <w:rPr>
          <w:iCs/>
          <w:lang w:eastAsia="en-GB"/>
        </w:rPr>
        <w:t>living in Northern Ireland makes an individual over twice as likely to rely on cash than a similar individual in England</w:t>
      </w:r>
      <w:r>
        <w:rPr>
          <w:iCs/>
          <w:lang w:eastAsia="en-GB"/>
        </w:rPr>
        <w:t xml:space="preserve">. Additionally, </w:t>
      </w:r>
      <w:r w:rsidRPr="00F67E33">
        <w:rPr>
          <w:lang w:eastAsia="en-GB"/>
        </w:rPr>
        <w:t>not being in employment, being permanently sick/disabled or being retired makes an individual 83% more likely to rely on cash than average.</w:t>
      </w:r>
    </w:p>
    <w:p w14:paraId="636CEC6A" w14:textId="0C1C91EB" w:rsidR="00D83E2F" w:rsidRPr="00D83E2F" w:rsidRDefault="00D83E2F" w:rsidP="00542E2D">
      <w:pPr>
        <w:pStyle w:val="NormalBulletList"/>
        <w:rPr>
          <w:rFonts w:cs="ITC Stone Sans Std Medium"/>
          <w:color w:val="000000"/>
          <w:sz w:val="36"/>
          <w:szCs w:val="32"/>
          <w:lang w:val="en-GB" w:eastAsia="en-GB"/>
        </w:rPr>
      </w:pPr>
      <w:r w:rsidRPr="00D83E2F">
        <w:rPr>
          <w:bCs/>
          <w:lang w:val="en-GB" w:eastAsia="en-GB"/>
        </w:rPr>
        <w:t>Digital banking, and in particular, digital s</w:t>
      </w:r>
      <w:r w:rsidRPr="00D83E2F">
        <w:rPr>
          <w:lang w:val="en-GB" w:eastAsia="en-GB"/>
        </w:rPr>
        <w:t>ecurity features</w:t>
      </w:r>
      <w:r w:rsidR="00C053F9">
        <w:rPr>
          <w:lang w:val="en-GB" w:eastAsia="en-GB"/>
        </w:rPr>
        <w:t>,</w:t>
      </w:r>
      <w:r w:rsidRPr="00D83E2F">
        <w:rPr>
          <w:lang w:val="en-GB" w:eastAsia="en-GB"/>
        </w:rPr>
        <w:t xml:space="preserve"> such as card readers and passwords</w:t>
      </w:r>
      <w:r w:rsidR="00C053F9">
        <w:rPr>
          <w:lang w:val="en-GB" w:eastAsia="en-GB"/>
        </w:rPr>
        <w:t>,</w:t>
      </w:r>
      <w:r w:rsidRPr="00D83E2F">
        <w:rPr>
          <w:lang w:val="en-GB" w:eastAsia="en-GB"/>
        </w:rPr>
        <w:t xml:space="preserve"> can be difficult for older and disabled people. </w:t>
      </w:r>
    </w:p>
    <w:bookmarkEnd w:id="1"/>
    <w:p w14:paraId="54E0D1CC" w14:textId="4A92239C" w:rsidR="00AF782E" w:rsidRPr="00D83E2F" w:rsidRDefault="00AF782E" w:rsidP="00542E2D">
      <w:pPr>
        <w:pStyle w:val="NormalBulletList"/>
        <w:rPr>
          <w:rFonts w:cs="ITC Stone Sans Std Medium"/>
          <w:color w:val="000000"/>
          <w:sz w:val="36"/>
          <w:szCs w:val="32"/>
          <w:lang w:val="en-GB" w:eastAsia="en-GB"/>
        </w:rPr>
      </w:pPr>
      <w:r>
        <w:br w:type="page"/>
      </w:r>
    </w:p>
    <w:p w14:paraId="3F9DCEE4" w14:textId="11E337D0" w:rsidR="00112158" w:rsidRDefault="00C77903" w:rsidP="00C77903">
      <w:pPr>
        <w:pStyle w:val="UnnumberedHeading2"/>
      </w:pPr>
      <w:r>
        <w:lastRenderedPageBreak/>
        <w:t>Introduction</w:t>
      </w:r>
    </w:p>
    <w:p w14:paraId="31D5287D" w14:textId="1A425EF6" w:rsidR="00521677" w:rsidRPr="00944C50" w:rsidRDefault="00EE5D97" w:rsidP="00944C50">
      <w:r>
        <w:rPr>
          <w:lang w:val="en-GB" w:eastAsia="en-GB"/>
        </w:rPr>
        <w:t>This Briefing Paper, prepared for the Committee for Finance</w:t>
      </w:r>
      <w:r w:rsidR="0020145E">
        <w:rPr>
          <w:lang w:val="en-GB" w:eastAsia="en-GB"/>
        </w:rPr>
        <w:t xml:space="preserve"> (the Committee)</w:t>
      </w:r>
      <w:r>
        <w:rPr>
          <w:lang w:val="en-GB" w:eastAsia="en-GB"/>
        </w:rPr>
        <w:t xml:space="preserve">, provides </w:t>
      </w:r>
      <w:r w:rsidR="00AE328D">
        <w:rPr>
          <w:lang w:val="en-GB" w:eastAsia="en-GB"/>
        </w:rPr>
        <w:t>preliminary consideration</w:t>
      </w:r>
      <w:r w:rsidR="00AA4B27">
        <w:rPr>
          <w:lang w:val="en-GB" w:eastAsia="en-GB"/>
        </w:rPr>
        <w:t xml:space="preserve">s arising from the current </w:t>
      </w:r>
      <w:r>
        <w:rPr>
          <w:lang w:val="en-GB" w:eastAsia="en-GB"/>
        </w:rPr>
        <w:t xml:space="preserve">financial services </w:t>
      </w:r>
      <w:r w:rsidR="00C053F9">
        <w:rPr>
          <w:lang w:val="en-GB" w:eastAsia="en-GB"/>
        </w:rPr>
        <w:t xml:space="preserve">landscape </w:t>
      </w:r>
      <w:r>
        <w:rPr>
          <w:lang w:val="en-GB" w:eastAsia="en-GB"/>
        </w:rPr>
        <w:t xml:space="preserve">in Northern Ireland. </w:t>
      </w:r>
      <w:r w:rsidR="00AA4B27">
        <w:rPr>
          <w:lang w:val="en-GB" w:eastAsia="en-GB"/>
        </w:rPr>
        <w:t xml:space="preserve">It focusses on key themes concerning </w:t>
      </w:r>
      <w:r w:rsidR="00AE328D">
        <w:rPr>
          <w:lang w:val="en-GB" w:eastAsia="en-GB"/>
        </w:rPr>
        <w:t xml:space="preserve">access to cash </w:t>
      </w:r>
      <w:r w:rsidR="00E90AE8">
        <w:rPr>
          <w:lang w:val="en-GB" w:eastAsia="en-GB"/>
        </w:rPr>
        <w:t xml:space="preserve">services </w:t>
      </w:r>
      <w:r w:rsidR="00AE328D">
        <w:rPr>
          <w:lang w:val="en-GB" w:eastAsia="en-GB"/>
        </w:rPr>
        <w:t>for customers</w:t>
      </w:r>
      <w:r w:rsidR="00B75E75">
        <w:rPr>
          <w:lang w:val="en-GB" w:eastAsia="en-GB"/>
        </w:rPr>
        <w:t>,</w:t>
      </w:r>
      <w:r w:rsidR="00AE328D">
        <w:rPr>
          <w:lang w:val="en-GB" w:eastAsia="en-GB"/>
        </w:rPr>
        <w:t xml:space="preserve"> following the recent closures of many bank branches </w:t>
      </w:r>
      <w:r w:rsidR="00B75E75">
        <w:rPr>
          <w:lang w:val="en-GB" w:eastAsia="en-GB"/>
        </w:rPr>
        <w:t xml:space="preserve">in </w:t>
      </w:r>
      <w:r w:rsidR="00AE328D">
        <w:rPr>
          <w:lang w:val="en-GB" w:eastAsia="en-GB"/>
        </w:rPr>
        <w:t>Northern Ireland.</w:t>
      </w:r>
      <w:r w:rsidR="002301E9" w:rsidRPr="002301E9">
        <w:rPr>
          <w:vertAlign w:val="superscript"/>
          <w:lang w:eastAsia="en-GB"/>
        </w:rPr>
        <w:footnoteReference w:id="2"/>
      </w:r>
      <w:r w:rsidR="00E13C4E">
        <w:rPr>
          <w:lang w:val="en-GB" w:eastAsia="en-GB"/>
        </w:rPr>
        <w:t xml:space="preserve"> Section</w:t>
      </w:r>
      <w:r w:rsidR="00147EB0">
        <w:rPr>
          <w:lang w:val="en-GB" w:eastAsia="en-GB"/>
        </w:rPr>
        <w:t xml:space="preserve"> </w:t>
      </w:r>
      <w:r w:rsidR="00E13C4E">
        <w:rPr>
          <w:lang w:val="en-GB" w:eastAsia="en-GB"/>
        </w:rPr>
        <w:t xml:space="preserve">1 </w:t>
      </w:r>
      <w:r w:rsidR="00AA4B27">
        <w:rPr>
          <w:lang w:val="en-GB" w:eastAsia="en-GB"/>
        </w:rPr>
        <w:t xml:space="preserve">sets out </w:t>
      </w:r>
      <w:r w:rsidR="00E13C4E">
        <w:rPr>
          <w:lang w:val="en-GB" w:eastAsia="en-GB"/>
        </w:rPr>
        <w:t xml:space="preserve">the </w:t>
      </w:r>
      <w:r w:rsidR="00317F8D">
        <w:rPr>
          <w:lang w:val="en-GB" w:eastAsia="en-GB"/>
        </w:rPr>
        <w:t xml:space="preserve">Northern Ireland financial services </w:t>
      </w:r>
      <w:r w:rsidR="00317F8D" w:rsidRPr="00944C50">
        <w:t>landscape</w:t>
      </w:r>
      <w:r w:rsidR="00AE328D">
        <w:t>, including</w:t>
      </w:r>
      <w:r w:rsidR="00B75E75" w:rsidRPr="00B75E75">
        <w:t xml:space="preserve"> information on the availability of banking services (Post Offices and Bank Branches) across Northern Ireland. </w:t>
      </w:r>
      <w:r w:rsidR="00D35329">
        <w:t xml:space="preserve">Section </w:t>
      </w:r>
      <w:r w:rsidR="001B237E">
        <w:t xml:space="preserve">2 </w:t>
      </w:r>
      <w:bookmarkStart w:id="2" w:name="_Hlk178929685"/>
      <w:r w:rsidR="00AA4B27" w:rsidRPr="00AA4B27">
        <w:t>further highlights the number of cash access points and the population’s proximity</w:t>
      </w:r>
      <w:r w:rsidR="00AA4B27">
        <w:t xml:space="preserve"> to </w:t>
      </w:r>
      <w:r w:rsidR="00521677" w:rsidRPr="00944C50">
        <w:t xml:space="preserve">“Free to Use” cash access points across urban and rural areas in Northern Ireland. </w:t>
      </w:r>
    </w:p>
    <w:bookmarkEnd w:id="2"/>
    <w:p w14:paraId="3D8DE04A" w14:textId="1078FB66" w:rsidR="00521677" w:rsidRPr="00521677" w:rsidRDefault="00C053F9" w:rsidP="00521677">
      <w:r>
        <w:rPr>
          <w:lang w:val="en-GB" w:eastAsia="en-GB"/>
        </w:rPr>
        <w:t xml:space="preserve">Thereafter, </w:t>
      </w:r>
      <w:r w:rsidR="00D86FA4">
        <w:rPr>
          <w:lang w:val="en-GB" w:eastAsia="en-GB"/>
        </w:rPr>
        <w:t xml:space="preserve">for additional context, </w:t>
      </w:r>
      <w:r w:rsidR="00317F8D">
        <w:rPr>
          <w:lang w:val="en-GB" w:eastAsia="en-GB"/>
        </w:rPr>
        <w:t>Sec</w:t>
      </w:r>
      <w:r w:rsidR="00E13C4E">
        <w:rPr>
          <w:lang w:val="en-GB" w:eastAsia="en-GB"/>
        </w:rPr>
        <w:t xml:space="preserve">tion </w:t>
      </w:r>
      <w:r w:rsidR="001B237E">
        <w:rPr>
          <w:lang w:val="en-GB" w:eastAsia="en-GB"/>
        </w:rPr>
        <w:t>3</w:t>
      </w:r>
      <w:r w:rsidR="00E13C4E">
        <w:rPr>
          <w:lang w:val="en-GB" w:eastAsia="en-GB"/>
        </w:rPr>
        <w:t xml:space="preserve"> </w:t>
      </w:r>
      <w:r w:rsidR="00317F8D">
        <w:rPr>
          <w:lang w:val="en-GB" w:eastAsia="en-GB"/>
        </w:rPr>
        <w:t>outline</w:t>
      </w:r>
      <w:r w:rsidR="000F23E8">
        <w:rPr>
          <w:lang w:val="en-GB" w:eastAsia="en-GB"/>
        </w:rPr>
        <w:t>s</w:t>
      </w:r>
      <w:r w:rsidR="00317F8D">
        <w:rPr>
          <w:lang w:val="en-GB" w:eastAsia="en-GB"/>
        </w:rPr>
        <w:t xml:space="preserve"> the </w:t>
      </w:r>
      <w:r w:rsidR="00317F8D" w:rsidRPr="00317F8D">
        <w:rPr>
          <w:lang w:eastAsia="en-GB"/>
        </w:rPr>
        <w:t xml:space="preserve">decline of </w:t>
      </w:r>
      <w:r w:rsidR="00317F8D">
        <w:rPr>
          <w:lang w:eastAsia="en-GB"/>
        </w:rPr>
        <w:t>c</w:t>
      </w:r>
      <w:r w:rsidR="00317F8D" w:rsidRPr="00317F8D">
        <w:rPr>
          <w:lang w:eastAsia="en-GB"/>
        </w:rPr>
        <w:t xml:space="preserve">ash and </w:t>
      </w:r>
      <w:r w:rsidR="00317F8D">
        <w:rPr>
          <w:lang w:eastAsia="en-GB"/>
        </w:rPr>
        <w:t>b</w:t>
      </w:r>
      <w:r w:rsidR="00317F8D" w:rsidRPr="00317F8D">
        <w:rPr>
          <w:lang w:eastAsia="en-GB"/>
        </w:rPr>
        <w:t xml:space="preserve">anking </w:t>
      </w:r>
      <w:r w:rsidR="00317F8D">
        <w:rPr>
          <w:lang w:eastAsia="en-GB"/>
        </w:rPr>
        <w:t>s</w:t>
      </w:r>
      <w:r w:rsidR="00317F8D" w:rsidRPr="00317F8D">
        <w:rPr>
          <w:lang w:eastAsia="en-GB"/>
        </w:rPr>
        <w:t>ervices</w:t>
      </w:r>
      <w:r w:rsidR="00317F8D">
        <w:rPr>
          <w:lang w:eastAsia="en-GB"/>
        </w:rPr>
        <w:t xml:space="preserve"> over the past decade and includes </w:t>
      </w:r>
      <w:r w:rsidR="00944C50">
        <w:rPr>
          <w:lang w:eastAsia="en-GB"/>
        </w:rPr>
        <w:t xml:space="preserve">a </w:t>
      </w:r>
      <w:r w:rsidR="00944C50" w:rsidRPr="00317F8D">
        <w:rPr>
          <w:lang w:val="en-GB" w:eastAsia="en-GB"/>
        </w:rPr>
        <w:t>breakdown</w:t>
      </w:r>
      <w:r w:rsidR="00317F8D" w:rsidRPr="00317F8D">
        <w:rPr>
          <w:lang w:val="en-GB" w:eastAsia="en-GB"/>
        </w:rPr>
        <w:t xml:space="preserve"> of bank</w:t>
      </w:r>
      <w:r w:rsidR="00317F8D">
        <w:rPr>
          <w:lang w:val="en-GB" w:eastAsia="en-GB"/>
        </w:rPr>
        <w:t xml:space="preserve"> and post office branch</w:t>
      </w:r>
      <w:r w:rsidR="00317F8D" w:rsidRPr="00317F8D">
        <w:rPr>
          <w:lang w:val="en-GB" w:eastAsia="en-GB"/>
        </w:rPr>
        <w:t xml:space="preserve"> closures across Northern Ireland from 2020 to early 202</w:t>
      </w:r>
      <w:r w:rsidR="00147EB0">
        <w:rPr>
          <w:lang w:val="en-GB" w:eastAsia="en-GB"/>
        </w:rPr>
        <w:t>4</w:t>
      </w:r>
      <w:r w:rsidR="00317F8D" w:rsidRPr="00317F8D">
        <w:rPr>
          <w:lang w:val="en-GB" w:eastAsia="en-GB"/>
        </w:rPr>
        <w:t>.</w:t>
      </w:r>
      <w:r w:rsidR="00317F8D">
        <w:rPr>
          <w:lang w:val="en-GB" w:eastAsia="en-GB"/>
        </w:rPr>
        <w:t xml:space="preserve"> Section </w:t>
      </w:r>
      <w:r w:rsidR="00434D49">
        <w:rPr>
          <w:lang w:val="en-GB" w:eastAsia="en-GB"/>
        </w:rPr>
        <w:t>4</w:t>
      </w:r>
      <w:r w:rsidR="00317F8D">
        <w:rPr>
          <w:lang w:val="en-GB" w:eastAsia="en-GB"/>
        </w:rPr>
        <w:t xml:space="preserve"> </w:t>
      </w:r>
      <w:bookmarkStart w:id="3" w:name="_Hlk178774894"/>
      <w:r w:rsidR="00317F8D">
        <w:rPr>
          <w:lang w:val="en-GB" w:eastAsia="en-GB"/>
        </w:rPr>
        <w:t>discusses legislative attempts</w:t>
      </w:r>
      <w:r w:rsidR="00D86FA4">
        <w:rPr>
          <w:lang w:val="en-GB" w:eastAsia="en-GB"/>
        </w:rPr>
        <w:t xml:space="preserve"> in recent times that have aimed</w:t>
      </w:r>
      <w:r w:rsidR="00317F8D">
        <w:rPr>
          <w:lang w:val="en-GB" w:eastAsia="en-GB"/>
        </w:rPr>
        <w:t xml:space="preserve"> to maintain </w:t>
      </w:r>
      <w:r w:rsidR="00F67E33">
        <w:rPr>
          <w:lang w:val="en-GB" w:eastAsia="en-GB"/>
        </w:rPr>
        <w:t xml:space="preserve">access to </w:t>
      </w:r>
      <w:r w:rsidR="00317F8D">
        <w:rPr>
          <w:lang w:val="en-GB" w:eastAsia="en-GB"/>
        </w:rPr>
        <w:t xml:space="preserve">cash services across the United Kingdom. It also considers the role of banking hubs, credit unions and </w:t>
      </w:r>
      <w:r w:rsidR="00147EB0">
        <w:rPr>
          <w:lang w:val="en-GB" w:eastAsia="en-GB"/>
        </w:rPr>
        <w:t>community banks</w:t>
      </w:r>
      <w:r w:rsidR="00317F8D">
        <w:rPr>
          <w:lang w:val="en-GB" w:eastAsia="en-GB"/>
        </w:rPr>
        <w:t xml:space="preserve"> in th</w:t>
      </w:r>
      <w:r w:rsidR="00D86FA4">
        <w:rPr>
          <w:lang w:val="en-GB" w:eastAsia="en-GB"/>
        </w:rPr>
        <w:t>at</w:t>
      </w:r>
      <w:r w:rsidR="00317F8D">
        <w:rPr>
          <w:lang w:val="en-GB" w:eastAsia="en-GB"/>
        </w:rPr>
        <w:t xml:space="preserve"> regard</w:t>
      </w:r>
      <w:bookmarkEnd w:id="3"/>
      <w:r w:rsidR="00317F8D">
        <w:rPr>
          <w:lang w:val="en-GB" w:eastAsia="en-GB"/>
        </w:rPr>
        <w:t xml:space="preserve">. Section </w:t>
      </w:r>
      <w:r w:rsidR="00434D49">
        <w:rPr>
          <w:lang w:val="en-GB" w:eastAsia="en-GB"/>
        </w:rPr>
        <w:t>5</w:t>
      </w:r>
      <w:r w:rsidR="00317F8D">
        <w:rPr>
          <w:lang w:val="en-GB" w:eastAsia="en-GB"/>
        </w:rPr>
        <w:t xml:space="preserve"> </w:t>
      </w:r>
      <w:bookmarkStart w:id="4" w:name="_Hlk178801030"/>
      <w:r w:rsidR="00AA4B27">
        <w:rPr>
          <w:lang w:val="en-GB" w:eastAsia="en-GB"/>
        </w:rPr>
        <w:t>summarises potential</w:t>
      </w:r>
      <w:r w:rsidR="00147EB0">
        <w:rPr>
          <w:lang w:val="en-GB" w:eastAsia="en-GB"/>
        </w:rPr>
        <w:t xml:space="preserve"> issues for consideration </w:t>
      </w:r>
      <w:r w:rsidR="0020145E">
        <w:rPr>
          <w:lang w:val="en-GB" w:eastAsia="en-GB"/>
        </w:rPr>
        <w:t xml:space="preserve">by the Committee </w:t>
      </w:r>
      <w:r w:rsidR="00147EB0">
        <w:rPr>
          <w:lang w:val="en-GB" w:eastAsia="en-GB"/>
        </w:rPr>
        <w:t xml:space="preserve">in light of the </w:t>
      </w:r>
      <w:r w:rsidR="00434D49">
        <w:rPr>
          <w:lang w:val="en-GB" w:eastAsia="en-GB"/>
        </w:rPr>
        <w:t xml:space="preserve">branch closures and the </w:t>
      </w:r>
      <w:r w:rsidR="00147EB0">
        <w:rPr>
          <w:lang w:val="en-GB" w:eastAsia="en-GB"/>
        </w:rPr>
        <w:t>chang</w:t>
      </w:r>
      <w:r w:rsidR="0020145E">
        <w:rPr>
          <w:lang w:val="en-GB" w:eastAsia="en-GB"/>
        </w:rPr>
        <w:t xml:space="preserve">ing </w:t>
      </w:r>
      <w:r w:rsidR="00147EB0">
        <w:rPr>
          <w:lang w:val="en-GB" w:eastAsia="en-GB"/>
        </w:rPr>
        <w:t>financial services landscape</w:t>
      </w:r>
      <w:r w:rsidR="0020145E">
        <w:rPr>
          <w:lang w:val="en-GB" w:eastAsia="en-GB"/>
        </w:rPr>
        <w:t xml:space="preserve"> in Northern Ireland</w:t>
      </w:r>
      <w:bookmarkEnd w:id="4"/>
      <w:r w:rsidR="0020145E">
        <w:rPr>
          <w:lang w:val="en-GB" w:eastAsia="en-GB"/>
        </w:rPr>
        <w:t xml:space="preserve">. The </w:t>
      </w:r>
      <w:r w:rsidR="007979EC">
        <w:rPr>
          <w:lang w:val="en-GB" w:eastAsia="en-GB"/>
        </w:rPr>
        <w:t>P</w:t>
      </w:r>
      <w:r w:rsidR="0020145E">
        <w:rPr>
          <w:lang w:val="en-GB" w:eastAsia="en-GB"/>
        </w:rPr>
        <w:t xml:space="preserve">aper concludes </w:t>
      </w:r>
      <w:r w:rsidR="005630CE">
        <w:rPr>
          <w:lang w:val="en-GB" w:eastAsia="en-GB"/>
        </w:rPr>
        <w:t xml:space="preserve">with some </w:t>
      </w:r>
      <w:r w:rsidR="0020145E">
        <w:rPr>
          <w:lang w:val="en-GB" w:eastAsia="en-GB"/>
        </w:rPr>
        <w:t>key take</w:t>
      </w:r>
      <w:r w:rsidR="00944C50">
        <w:rPr>
          <w:lang w:val="en-GB" w:eastAsia="en-GB"/>
        </w:rPr>
        <w:t>-</w:t>
      </w:r>
      <w:r w:rsidR="0020145E">
        <w:rPr>
          <w:lang w:val="en-GB" w:eastAsia="en-GB"/>
        </w:rPr>
        <w:t>aways.</w:t>
      </w:r>
      <w:r w:rsidR="00147EB0">
        <w:rPr>
          <w:lang w:val="en-GB" w:eastAsia="en-GB"/>
        </w:rPr>
        <w:t xml:space="preserve"> </w:t>
      </w:r>
      <w:r w:rsidR="00521677">
        <w:rPr>
          <w:lang w:val="en-GB" w:eastAsia="en-GB"/>
        </w:rPr>
        <w:t xml:space="preserve"> </w:t>
      </w:r>
    </w:p>
    <w:p w14:paraId="0BD1A57C" w14:textId="5F2CA634" w:rsidR="000F23E8" w:rsidRDefault="000F23E8">
      <w:pPr>
        <w:tabs>
          <w:tab w:val="clear" w:pos="567"/>
        </w:tabs>
        <w:spacing w:before="0" w:after="0" w:line="240" w:lineRule="auto"/>
        <w:ind w:left="0"/>
        <w:rPr>
          <w:lang w:val="en-GB" w:eastAsia="en-GB"/>
        </w:rPr>
      </w:pPr>
      <w:r>
        <w:rPr>
          <w:lang w:val="en-GB" w:eastAsia="en-GB"/>
        </w:rPr>
        <w:br w:type="page"/>
      </w:r>
    </w:p>
    <w:p w14:paraId="1E905EF3" w14:textId="4E7E4FD1" w:rsidR="000B4788" w:rsidRDefault="000B4788" w:rsidP="004D387B">
      <w:pPr>
        <w:pStyle w:val="Heading2"/>
      </w:pPr>
      <w:r>
        <w:lastRenderedPageBreak/>
        <w:t>T</w:t>
      </w:r>
      <w:r w:rsidR="009879A9">
        <w:t>he Northern Ireland Financial Services Landscape</w:t>
      </w:r>
    </w:p>
    <w:p w14:paraId="2F9102DB" w14:textId="76DBA3BA" w:rsidR="006325DF" w:rsidRDefault="009879A9" w:rsidP="009A1322">
      <w:r w:rsidRPr="009879A9">
        <w:t xml:space="preserve">By way of context setting, this </w:t>
      </w:r>
      <w:r w:rsidR="009A7A01" w:rsidRPr="009879A9">
        <w:t>section</w:t>
      </w:r>
      <w:r w:rsidR="009A7A01">
        <w:t xml:space="preserve"> features</w:t>
      </w:r>
      <w:r w:rsidR="00521677" w:rsidRPr="00C72A75">
        <w:t xml:space="preserve"> </w:t>
      </w:r>
      <w:r w:rsidR="00EF70C8">
        <w:t>t</w:t>
      </w:r>
      <w:r w:rsidR="00EF70C8" w:rsidRPr="00EF70C8">
        <w:t xml:space="preserve">he most </w:t>
      </w:r>
      <w:r w:rsidR="00EF70C8">
        <w:t>current</w:t>
      </w:r>
      <w:r w:rsidR="00EF70C8" w:rsidRPr="00EF70C8">
        <w:t xml:space="preserve"> in-depth analysis of </w:t>
      </w:r>
      <w:r w:rsidR="0017645B">
        <w:t xml:space="preserve">the </w:t>
      </w:r>
      <w:r w:rsidR="00EF70C8" w:rsidRPr="00EF70C8">
        <w:t>Northern Ireland financial services sector</w:t>
      </w:r>
      <w:r w:rsidR="00A716A4">
        <w:t xml:space="preserve">; </w:t>
      </w:r>
      <w:r w:rsidR="00EF70C8" w:rsidRPr="00EF70C8">
        <w:t xml:space="preserve">published </w:t>
      </w:r>
      <w:r w:rsidR="00EF70C8">
        <w:t xml:space="preserve">in 2020 by the </w:t>
      </w:r>
      <w:r w:rsidR="00EF70C8" w:rsidRPr="00EF70C8">
        <w:t>Department for the Economy </w:t>
      </w:r>
      <w:r w:rsidR="00EF70C8">
        <w:t xml:space="preserve">(DfE). </w:t>
      </w:r>
      <w:r w:rsidR="00A716A4">
        <w:t>It</w:t>
      </w:r>
      <w:r w:rsidR="00EF70C8">
        <w:t xml:space="preserve"> also </w:t>
      </w:r>
      <w:r w:rsidR="009A7A01">
        <w:t>highlights</w:t>
      </w:r>
      <w:r w:rsidR="00EF70C8">
        <w:t xml:space="preserve"> </w:t>
      </w:r>
      <w:r w:rsidR="0017645B">
        <w:t xml:space="preserve">the availability of </w:t>
      </w:r>
      <w:r w:rsidR="00EF70C8" w:rsidRPr="00EF70C8">
        <w:t>banking services (Post Offices and Bank Branches) across Northern Ireland</w:t>
      </w:r>
      <w:r w:rsidR="00EF70C8">
        <w:t>.</w:t>
      </w:r>
      <w:r w:rsidRPr="009879A9">
        <w:t xml:space="preserve"> </w:t>
      </w:r>
    </w:p>
    <w:p w14:paraId="6825D0CD" w14:textId="77777777" w:rsidR="005C04A3" w:rsidRPr="00266759" w:rsidRDefault="005C04A3" w:rsidP="005C04A3">
      <w:pPr>
        <w:pStyle w:val="Heading3"/>
      </w:pPr>
      <w:r w:rsidRPr="00266759">
        <w:t>Mapping Northern Ireland's financial services sector</w:t>
      </w:r>
    </w:p>
    <w:p w14:paraId="399980C2" w14:textId="496272FD" w:rsidR="0068640B" w:rsidRDefault="00EF70C8" w:rsidP="0068640B">
      <w:r>
        <w:t>I</w:t>
      </w:r>
      <w:r w:rsidR="005C04A3">
        <w:t>n 2020</w:t>
      </w:r>
      <w:r>
        <w:t>, the</w:t>
      </w:r>
      <w:r w:rsidR="00A716A4">
        <w:t xml:space="preserve"> </w:t>
      </w:r>
      <w:r w:rsidR="005C04A3">
        <w:t xml:space="preserve">DfE </w:t>
      </w:r>
      <w:r w:rsidR="00495C7B">
        <w:t xml:space="preserve">commissioned </w:t>
      </w:r>
      <w:r w:rsidR="00BF44A0">
        <w:t xml:space="preserve">OCO Global to complete an analysis </w:t>
      </w:r>
      <w:r w:rsidR="00BF44A0" w:rsidRPr="005C04A3">
        <w:t xml:space="preserve">on the types of financial services activity </w:t>
      </w:r>
      <w:r w:rsidR="00E30A8D">
        <w:t>occurring</w:t>
      </w:r>
      <w:r w:rsidR="00BF44A0" w:rsidRPr="005C04A3">
        <w:t xml:space="preserve"> in N</w:t>
      </w:r>
      <w:r w:rsidR="00BF44A0">
        <w:t>orthern Ireland</w:t>
      </w:r>
      <w:r w:rsidR="00BF44A0" w:rsidRPr="005C04A3">
        <w:t>, including back office and middle office support service functions.</w:t>
      </w:r>
      <w:r w:rsidR="00BF44A0">
        <w:t xml:space="preserve"> The subsequent report, </w:t>
      </w:r>
      <w:bookmarkStart w:id="5" w:name="_Hlk178675463"/>
      <w:r w:rsidR="00BF44A0" w:rsidRPr="00BF44A0">
        <w:fldChar w:fldCharType="begin"/>
      </w:r>
      <w:r w:rsidR="00BF44A0" w:rsidRPr="00BF44A0">
        <w:instrText xml:space="preserve"> HYPERLINK "https://www.economy-ni.gov.uk/publications/mapping-northern-irelands-financial-services-sector" </w:instrText>
      </w:r>
      <w:r w:rsidR="00BF44A0" w:rsidRPr="00BF44A0">
        <w:fldChar w:fldCharType="separate"/>
      </w:r>
      <w:r w:rsidR="00BF44A0" w:rsidRPr="00BF44A0">
        <w:rPr>
          <w:rStyle w:val="Hyperlink"/>
        </w:rPr>
        <w:t>Mapping Northern Ireland’s Financial Services Sector</w:t>
      </w:r>
      <w:r w:rsidR="00BF44A0" w:rsidRPr="00BF44A0">
        <w:fldChar w:fldCharType="end"/>
      </w:r>
      <w:bookmarkEnd w:id="5"/>
      <w:r w:rsidR="00BF44A0" w:rsidRPr="00BF44A0">
        <w:t xml:space="preserve">, </w:t>
      </w:r>
      <w:r w:rsidR="005C04A3" w:rsidRPr="005C04A3">
        <w:t>confirmed that the N</w:t>
      </w:r>
      <w:r w:rsidR="00BF44A0">
        <w:t xml:space="preserve">orthern </w:t>
      </w:r>
      <w:r w:rsidR="005C04A3" w:rsidRPr="005C04A3">
        <w:t>I</w:t>
      </w:r>
      <w:r w:rsidR="00BF44A0">
        <w:t xml:space="preserve">reland </w:t>
      </w:r>
      <w:r w:rsidR="005C04A3" w:rsidRPr="005C04A3">
        <w:t>Financial Services sector is a key contributor to the local economy in terms of employment and growth</w:t>
      </w:r>
      <w:r w:rsidR="00BF44A0">
        <w:t>.</w:t>
      </w:r>
      <w:r w:rsidR="002F11BF">
        <w:t xml:space="preserve"> </w:t>
      </w:r>
      <w:r w:rsidR="00BF44A0">
        <w:t>Th</w:t>
      </w:r>
      <w:r w:rsidR="00540777">
        <w:t>at</w:t>
      </w:r>
      <w:r w:rsidR="00BF44A0">
        <w:t xml:space="preserve"> report identified four key sectoral areas</w:t>
      </w:r>
      <w:r w:rsidR="0068640B">
        <w:t xml:space="preserve"> with a particular impact on the local economy, namely:</w:t>
      </w:r>
      <w:r w:rsidR="00E30A8D">
        <w:rPr>
          <w:rStyle w:val="FootnoteReference"/>
        </w:rPr>
        <w:footnoteReference w:id="3"/>
      </w:r>
    </w:p>
    <w:p w14:paraId="12547BEF" w14:textId="3709B045" w:rsidR="0068640B" w:rsidRDefault="0068640B" w:rsidP="0068640B">
      <w:pPr>
        <w:pStyle w:val="NormalBulletList"/>
      </w:pPr>
      <w:r>
        <w:t xml:space="preserve">banking </w:t>
      </w:r>
    </w:p>
    <w:p w14:paraId="4E2329EF" w14:textId="1069DFEA" w:rsidR="0068640B" w:rsidRDefault="0068640B" w:rsidP="0068640B">
      <w:pPr>
        <w:pStyle w:val="NormalBulletList"/>
      </w:pPr>
      <w:r>
        <w:t>insurance</w:t>
      </w:r>
    </w:p>
    <w:p w14:paraId="360C92D0" w14:textId="4041EDA8" w:rsidR="0068640B" w:rsidRDefault="0068640B" w:rsidP="0068640B">
      <w:pPr>
        <w:pStyle w:val="NormalBulletList"/>
      </w:pPr>
      <w:r>
        <w:t>fintech and outsources solutions</w:t>
      </w:r>
    </w:p>
    <w:p w14:paraId="0DE99358" w14:textId="106734B8" w:rsidR="0068640B" w:rsidRDefault="0068640B" w:rsidP="0068640B">
      <w:pPr>
        <w:pStyle w:val="NormalBulletList"/>
      </w:pPr>
      <w:r>
        <w:t>financial advisors, mortgage brokers and credit providers</w:t>
      </w:r>
    </w:p>
    <w:p w14:paraId="02324A3A" w14:textId="2A090FF8" w:rsidR="00703D20" w:rsidRDefault="0068640B" w:rsidP="0068640B">
      <w:pPr>
        <w:sectPr w:rsidR="00703D20" w:rsidSect="008C550E">
          <w:type w:val="continuous"/>
          <w:pgSz w:w="11906" w:h="16838" w:code="9"/>
          <w:pgMar w:top="1418" w:right="1418" w:bottom="1418" w:left="1418" w:header="567" w:footer="567" w:gutter="0"/>
          <w:cols w:space="708"/>
          <w:docGrid w:linePitch="360"/>
        </w:sectPr>
      </w:pPr>
      <w:r>
        <w:t xml:space="preserve">Table 1 below presents a summary of these sectors including the </w:t>
      </w:r>
      <w:r w:rsidRPr="0068640B">
        <w:t xml:space="preserve">OCO Global </w:t>
      </w:r>
      <w:r>
        <w:t>c</w:t>
      </w:r>
      <w:r w:rsidRPr="0068640B">
        <w:t xml:space="preserve">ommentary </w:t>
      </w:r>
      <w:r>
        <w:t xml:space="preserve">taken from the </w:t>
      </w:r>
      <w:r w:rsidR="00771E42">
        <w:t xml:space="preserve">2020 </w:t>
      </w:r>
      <w:r w:rsidR="00540777">
        <w:t>report</w:t>
      </w:r>
      <w:r w:rsidR="00A716A4">
        <w:t>:</w:t>
      </w:r>
    </w:p>
    <w:p w14:paraId="255A0050" w14:textId="7C981705" w:rsidR="00BF44A0" w:rsidRPr="00703D20" w:rsidRDefault="00703D20" w:rsidP="00A74C75">
      <w:pPr>
        <w:rPr>
          <w:b/>
          <w:sz w:val="20"/>
          <w:szCs w:val="20"/>
        </w:rPr>
      </w:pPr>
      <w:r w:rsidRPr="00703D20">
        <w:rPr>
          <w:b/>
          <w:sz w:val="20"/>
          <w:szCs w:val="20"/>
        </w:rPr>
        <w:lastRenderedPageBreak/>
        <w:t>Table</w:t>
      </w:r>
      <w:r w:rsidR="00A240ED">
        <w:rPr>
          <w:b/>
          <w:sz w:val="20"/>
          <w:szCs w:val="20"/>
        </w:rPr>
        <w:t xml:space="preserve"> </w:t>
      </w:r>
      <w:r w:rsidRPr="00703D20">
        <w:rPr>
          <w:b/>
          <w:sz w:val="20"/>
          <w:szCs w:val="20"/>
        </w:rPr>
        <w:t xml:space="preserve">1: </w:t>
      </w:r>
      <w:r w:rsidR="00BF44A0" w:rsidRPr="00703D20">
        <w:rPr>
          <w:b/>
          <w:sz w:val="20"/>
          <w:szCs w:val="20"/>
        </w:rPr>
        <w:t>OCO Global</w:t>
      </w:r>
      <w:r w:rsidRPr="00703D20">
        <w:rPr>
          <w:b/>
          <w:sz w:val="20"/>
          <w:szCs w:val="20"/>
        </w:rPr>
        <w:t xml:space="preserve"> analysis of Northern Ireland Financial Services</w:t>
      </w:r>
      <w:r w:rsidR="002F11BF">
        <w:rPr>
          <w:rStyle w:val="FootnoteReference"/>
          <w:b/>
          <w:sz w:val="20"/>
          <w:szCs w:val="20"/>
        </w:rPr>
        <w:footnoteReference w:id="4"/>
      </w:r>
    </w:p>
    <w:tbl>
      <w:tblPr>
        <w:tblStyle w:val="TableGrid"/>
        <w:tblW w:w="14454" w:type="dxa"/>
        <w:tblInd w:w="567" w:type="dxa"/>
        <w:tblLook w:val="04A0" w:firstRow="1" w:lastRow="0" w:firstColumn="1" w:lastColumn="0" w:noHBand="0" w:noVBand="1"/>
      </w:tblPr>
      <w:tblGrid>
        <w:gridCol w:w="1555"/>
        <w:gridCol w:w="12899"/>
      </w:tblGrid>
      <w:tr w:rsidR="00BF44A0" w14:paraId="031FCF31" w14:textId="77777777" w:rsidTr="00703D20">
        <w:tc>
          <w:tcPr>
            <w:tcW w:w="1555" w:type="dxa"/>
            <w:shd w:val="clear" w:color="auto" w:fill="95B3D7" w:themeFill="accent1" w:themeFillTint="99"/>
          </w:tcPr>
          <w:p w14:paraId="316FE61D" w14:textId="5A36A68A" w:rsidR="00BF44A0" w:rsidRPr="002F11BF" w:rsidRDefault="00BF44A0" w:rsidP="00BF44A0">
            <w:pPr>
              <w:pStyle w:val="TableText-ColumnHeading"/>
              <w:rPr>
                <w:sz w:val="20"/>
                <w:szCs w:val="20"/>
              </w:rPr>
            </w:pPr>
            <w:r w:rsidRPr="002F11BF">
              <w:rPr>
                <w:sz w:val="20"/>
                <w:szCs w:val="20"/>
              </w:rPr>
              <w:t xml:space="preserve"> Sector</w:t>
            </w:r>
          </w:p>
        </w:tc>
        <w:tc>
          <w:tcPr>
            <w:tcW w:w="12899" w:type="dxa"/>
            <w:shd w:val="clear" w:color="auto" w:fill="95B3D7" w:themeFill="accent1" w:themeFillTint="99"/>
          </w:tcPr>
          <w:p w14:paraId="2CDBB0F1" w14:textId="58DF4E50" w:rsidR="00BF44A0" w:rsidRPr="002F11BF" w:rsidRDefault="00BF44A0" w:rsidP="00BF44A0">
            <w:pPr>
              <w:pStyle w:val="TableText-ColumnHeading"/>
              <w:rPr>
                <w:sz w:val="20"/>
                <w:szCs w:val="20"/>
              </w:rPr>
            </w:pPr>
            <w:bookmarkStart w:id="6" w:name="_Hlk178766839"/>
            <w:r w:rsidRPr="002F11BF">
              <w:rPr>
                <w:sz w:val="20"/>
                <w:szCs w:val="20"/>
              </w:rPr>
              <w:t>OCO Global Commentary</w:t>
            </w:r>
            <w:bookmarkEnd w:id="6"/>
          </w:p>
        </w:tc>
      </w:tr>
      <w:tr w:rsidR="00BF44A0" w14:paraId="10B5C624" w14:textId="77777777" w:rsidTr="00703D20">
        <w:tc>
          <w:tcPr>
            <w:tcW w:w="1555" w:type="dxa"/>
            <w:shd w:val="clear" w:color="auto" w:fill="95B3D7" w:themeFill="accent1" w:themeFillTint="99"/>
          </w:tcPr>
          <w:p w14:paraId="765C42C5" w14:textId="2A3837B3" w:rsidR="00BF44A0" w:rsidRPr="002F11BF" w:rsidRDefault="00BF44A0" w:rsidP="00703D20">
            <w:pPr>
              <w:pStyle w:val="TableText-ColumnHeading"/>
              <w:rPr>
                <w:sz w:val="20"/>
                <w:szCs w:val="20"/>
              </w:rPr>
            </w:pPr>
            <w:r w:rsidRPr="002F11BF">
              <w:rPr>
                <w:sz w:val="20"/>
                <w:szCs w:val="20"/>
              </w:rPr>
              <w:t xml:space="preserve">Banking </w:t>
            </w:r>
          </w:p>
        </w:tc>
        <w:tc>
          <w:tcPr>
            <w:tcW w:w="12899" w:type="dxa"/>
          </w:tcPr>
          <w:p w14:paraId="4C7A73B5" w14:textId="3ECE7670" w:rsidR="00BF44A0" w:rsidRPr="002F11BF" w:rsidRDefault="00BF44A0" w:rsidP="00BF44A0">
            <w:pPr>
              <w:pStyle w:val="TableText"/>
              <w:rPr>
                <w:i/>
                <w:iCs/>
                <w:sz w:val="20"/>
                <w:szCs w:val="20"/>
              </w:rPr>
            </w:pPr>
            <w:r w:rsidRPr="002F11BF">
              <w:rPr>
                <w:i/>
                <w:iCs/>
                <w:sz w:val="20"/>
                <w:szCs w:val="20"/>
              </w:rPr>
              <w:t>Largest of FS Sectors in terms of employment and office presence . NI’s 4 indigenous ‘pillar’ banks provide a large level of employment (around 5,000) distributed roughly 50:50 across their large branch networks and back and middle office HQs in Belfast. Range of back office activity from international presence. The continued emergence of digital and remote technologies is reducing demand and requirement for face to face interactions with branch staff. In the coming years branches and front office staff numbers are likely to decline.</w:t>
            </w:r>
          </w:p>
        </w:tc>
      </w:tr>
      <w:tr w:rsidR="00BF44A0" w14:paraId="7987ED92" w14:textId="77777777" w:rsidTr="00703D20">
        <w:tc>
          <w:tcPr>
            <w:tcW w:w="1555" w:type="dxa"/>
            <w:shd w:val="clear" w:color="auto" w:fill="95B3D7" w:themeFill="accent1" w:themeFillTint="99"/>
          </w:tcPr>
          <w:p w14:paraId="287F0F52" w14:textId="5962F170" w:rsidR="00BF44A0" w:rsidRPr="002F11BF" w:rsidRDefault="00703D20" w:rsidP="00703D20">
            <w:pPr>
              <w:pStyle w:val="TableText-ColumnHeading"/>
              <w:rPr>
                <w:sz w:val="20"/>
                <w:szCs w:val="20"/>
              </w:rPr>
            </w:pPr>
            <w:r w:rsidRPr="002F11BF">
              <w:rPr>
                <w:sz w:val="20"/>
                <w:szCs w:val="20"/>
              </w:rPr>
              <w:t>Insurance</w:t>
            </w:r>
          </w:p>
        </w:tc>
        <w:tc>
          <w:tcPr>
            <w:tcW w:w="12899" w:type="dxa"/>
          </w:tcPr>
          <w:p w14:paraId="2D7B9821" w14:textId="450FF5DA" w:rsidR="00BF44A0" w:rsidRPr="002F11BF" w:rsidRDefault="00BF44A0" w:rsidP="00BF44A0">
            <w:pPr>
              <w:pStyle w:val="TableText"/>
              <w:rPr>
                <w:i/>
                <w:iCs/>
                <w:sz w:val="20"/>
                <w:szCs w:val="20"/>
              </w:rPr>
            </w:pPr>
            <w:r w:rsidRPr="002F11BF">
              <w:rPr>
                <w:i/>
                <w:iCs/>
                <w:sz w:val="20"/>
                <w:szCs w:val="20"/>
              </w:rPr>
              <w:t>The Insurance industry in NI is comprised of a number of indigenous, GB based and internationally owned providers. Additionally, there are a large number of insurance brokers selling a range of insurance products across health, house, vehicle, business, pet, etc. A relatively new subsector (Insurtech) is also present here with large employment and innovation. The main cluster of employment and branches can be found in Belfast but large Insurtech operations provide significant employment in Londonderry and Strabane.</w:t>
            </w:r>
          </w:p>
        </w:tc>
      </w:tr>
      <w:tr w:rsidR="00BF44A0" w14:paraId="3D08C277" w14:textId="77777777" w:rsidTr="00703D20">
        <w:tc>
          <w:tcPr>
            <w:tcW w:w="1555" w:type="dxa"/>
            <w:shd w:val="clear" w:color="auto" w:fill="95B3D7" w:themeFill="accent1" w:themeFillTint="99"/>
          </w:tcPr>
          <w:p w14:paraId="6EB1F418" w14:textId="23FBE93D" w:rsidR="00BF44A0" w:rsidRPr="002F11BF" w:rsidRDefault="00703D20" w:rsidP="00703D20">
            <w:pPr>
              <w:pStyle w:val="TableText-ColumnHeading"/>
              <w:rPr>
                <w:sz w:val="20"/>
                <w:szCs w:val="20"/>
              </w:rPr>
            </w:pPr>
            <w:r w:rsidRPr="002F11BF">
              <w:rPr>
                <w:sz w:val="20"/>
                <w:szCs w:val="20"/>
              </w:rPr>
              <w:t>Fintech and Outsources Solutions</w:t>
            </w:r>
          </w:p>
        </w:tc>
        <w:tc>
          <w:tcPr>
            <w:tcW w:w="12899" w:type="dxa"/>
          </w:tcPr>
          <w:p w14:paraId="3BEE38E0" w14:textId="60E23B29" w:rsidR="00BF44A0" w:rsidRPr="002F11BF" w:rsidRDefault="00703D20" w:rsidP="00BF44A0">
            <w:pPr>
              <w:pStyle w:val="TableText"/>
              <w:rPr>
                <w:i/>
                <w:iCs/>
                <w:sz w:val="20"/>
                <w:szCs w:val="20"/>
              </w:rPr>
            </w:pPr>
            <w:r w:rsidRPr="002F11BF">
              <w:rPr>
                <w:i/>
                <w:iCs/>
                <w:sz w:val="20"/>
                <w:szCs w:val="20"/>
                <w:lang w:val="en-US"/>
              </w:rPr>
              <w:t>NI FinTech and Outsourced Solutions – Belfast increasingly finding itself as a home of large multinational firms. NI’s Fintech subsector is based primarily in Belfast city centre but significant operations in Newry and Londonderry show large centres of employment. FinTech – Invest NI commonly state the number of FinTech companies as being around 80-100 however the majority of these are made of start-ups. In reality there are 15 established companies employing around 5,485.</w:t>
            </w:r>
          </w:p>
        </w:tc>
      </w:tr>
      <w:tr w:rsidR="00BF44A0" w14:paraId="3935E1A6" w14:textId="77777777" w:rsidTr="00703D20">
        <w:tc>
          <w:tcPr>
            <w:tcW w:w="1555" w:type="dxa"/>
            <w:shd w:val="clear" w:color="auto" w:fill="95B3D7" w:themeFill="accent1" w:themeFillTint="99"/>
          </w:tcPr>
          <w:p w14:paraId="141927F3" w14:textId="0C3DB263" w:rsidR="00BF44A0" w:rsidRPr="002F11BF" w:rsidRDefault="00703D20" w:rsidP="00703D20">
            <w:pPr>
              <w:pStyle w:val="TableText-ColumnHeading"/>
              <w:rPr>
                <w:sz w:val="20"/>
                <w:szCs w:val="20"/>
              </w:rPr>
            </w:pPr>
            <w:r w:rsidRPr="002F11BF">
              <w:rPr>
                <w:sz w:val="20"/>
                <w:szCs w:val="20"/>
              </w:rPr>
              <w:t>Financial Advisors, Mortgage Brokers and Credit Providers</w:t>
            </w:r>
          </w:p>
        </w:tc>
        <w:tc>
          <w:tcPr>
            <w:tcW w:w="12899" w:type="dxa"/>
          </w:tcPr>
          <w:p w14:paraId="241E4B27" w14:textId="269CFFF9" w:rsidR="00BF44A0" w:rsidRPr="002F11BF" w:rsidRDefault="00703D20" w:rsidP="00BF44A0">
            <w:pPr>
              <w:pStyle w:val="TableText"/>
              <w:rPr>
                <w:i/>
                <w:iCs/>
                <w:sz w:val="20"/>
                <w:szCs w:val="20"/>
              </w:rPr>
            </w:pPr>
            <w:r w:rsidRPr="002F11BF">
              <w:rPr>
                <w:i/>
                <w:iCs/>
                <w:sz w:val="20"/>
                <w:szCs w:val="20"/>
                <w:lang w:val="en-US"/>
              </w:rPr>
              <w:t>NI is home to a large number of financial advisory and wealth management firms (around 90 firms employing 485 staff). These companies range in size from micro 2-3 people operations to offices of large global companies. Employment activities tend to be split among customer facing advisors and back office admin support staff. Mortgage brokerage is another large subsector in NI with some 40 companies employing around 715. Much like the financial advisor structure, much of the employment is split between customer facing advisors and back office support. Dedicated credit providers employ around 953 in NI across 25 companies. NI has a large network of Credit Unions throughout the province so overall employment by branch is relatively small.</w:t>
            </w:r>
          </w:p>
        </w:tc>
      </w:tr>
    </w:tbl>
    <w:p w14:paraId="1DB725A8" w14:textId="3F7546CD" w:rsidR="00BF44A0" w:rsidRPr="00703D20" w:rsidRDefault="00703D20" w:rsidP="00A74C75">
      <w:pPr>
        <w:rPr>
          <w:b/>
          <w:sz w:val="20"/>
          <w:szCs w:val="20"/>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sidRPr="00703D20">
        <w:rPr>
          <w:b/>
          <w:sz w:val="20"/>
          <w:szCs w:val="20"/>
        </w:rPr>
        <w:t>Source: DfE (2020)</w:t>
      </w:r>
    </w:p>
    <w:p w14:paraId="78A915EE" w14:textId="77777777" w:rsidR="000F23E8" w:rsidRDefault="000F23E8" w:rsidP="00A74C75">
      <w:pPr>
        <w:sectPr w:rsidR="000F23E8" w:rsidSect="00703D20">
          <w:pgSz w:w="16838" w:h="11906" w:orient="landscape" w:code="9"/>
          <w:pgMar w:top="1418" w:right="1418" w:bottom="1418" w:left="1418" w:header="567" w:footer="567" w:gutter="0"/>
          <w:cols w:space="708"/>
          <w:docGrid w:linePitch="360"/>
        </w:sectPr>
      </w:pPr>
    </w:p>
    <w:p w14:paraId="16711E90" w14:textId="0CAE397B" w:rsidR="009423A8" w:rsidRPr="00771E42" w:rsidRDefault="009423A8" w:rsidP="00771E42">
      <w:pPr>
        <w:rPr>
          <w:b/>
        </w:rPr>
      </w:pPr>
      <w:r w:rsidRPr="00771E42">
        <w:rPr>
          <w:b/>
        </w:rPr>
        <w:lastRenderedPageBreak/>
        <w:t>Employment</w:t>
      </w:r>
    </w:p>
    <w:p w14:paraId="7E638200" w14:textId="60AD430D" w:rsidR="002F11BF" w:rsidRDefault="00274F89" w:rsidP="00A74C75">
      <w:r>
        <w:t>With regard to employment</w:t>
      </w:r>
      <w:r w:rsidR="00B44BA7">
        <w:t>,</w:t>
      </w:r>
      <w:r>
        <w:t xml:space="preserve"> t</w:t>
      </w:r>
      <w:r w:rsidRPr="00274F89">
        <w:t xml:space="preserve">he </w:t>
      </w:r>
      <w:r w:rsidR="00B44BA7">
        <w:t xml:space="preserve">2020 </w:t>
      </w:r>
      <w:r w:rsidRPr="00274F89">
        <w:t xml:space="preserve">report identified </w:t>
      </w:r>
      <w:r w:rsidR="0066063E">
        <w:t>banking</w:t>
      </w:r>
      <w:r w:rsidR="00F40A72">
        <w:t xml:space="preserve"> as the largest employer with 10,000 staff working in 355 sites. The four “indigenous pillar” banks</w:t>
      </w:r>
      <w:r w:rsidR="002F11BF">
        <w:t xml:space="preserve">, namely, </w:t>
      </w:r>
      <w:hyperlink r:id="rId13" w:history="1">
        <w:r w:rsidR="00F40A72" w:rsidRPr="002F11BF">
          <w:rPr>
            <w:rStyle w:val="Hyperlink"/>
          </w:rPr>
          <w:t>Ulster Bank</w:t>
        </w:r>
      </w:hyperlink>
      <w:r w:rsidR="00F40A72">
        <w:t xml:space="preserve">, </w:t>
      </w:r>
      <w:hyperlink r:id="rId14" w:history="1">
        <w:r w:rsidR="00F40A72" w:rsidRPr="002F11BF">
          <w:rPr>
            <w:rStyle w:val="Hyperlink"/>
          </w:rPr>
          <w:t>Danske Bank</w:t>
        </w:r>
      </w:hyperlink>
      <w:r w:rsidR="00F40A72">
        <w:t xml:space="preserve">, </w:t>
      </w:r>
      <w:hyperlink r:id="rId15" w:history="1">
        <w:r w:rsidR="00F40A72" w:rsidRPr="002F11BF">
          <w:rPr>
            <w:rStyle w:val="Hyperlink"/>
          </w:rPr>
          <w:t>Bank of Ireland</w:t>
        </w:r>
      </w:hyperlink>
      <w:r w:rsidR="00F40A72">
        <w:t xml:space="preserve"> and </w:t>
      </w:r>
      <w:hyperlink r:id="rId16" w:history="1">
        <w:r w:rsidR="00F40A72" w:rsidRPr="002F11BF">
          <w:rPr>
            <w:rStyle w:val="Hyperlink"/>
          </w:rPr>
          <w:t>Allied Irish Bank (AIB)</w:t>
        </w:r>
      </w:hyperlink>
      <w:r w:rsidR="00F40A72">
        <w:t xml:space="preserve"> account for 5,000 staff at 250 sites. United Kingdom and international banks such as </w:t>
      </w:r>
      <w:hyperlink r:id="rId17" w:history="1">
        <w:r w:rsidR="00F40A72" w:rsidRPr="002F11BF">
          <w:rPr>
            <w:rStyle w:val="Hyperlink"/>
          </w:rPr>
          <w:t>Halifax</w:t>
        </w:r>
      </w:hyperlink>
      <w:r w:rsidR="00F40A72">
        <w:t xml:space="preserve">, </w:t>
      </w:r>
      <w:hyperlink r:id="rId18" w:history="1">
        <w:r w:rsidR="00F40A72" w:rsidRPr="002F11BF">
          <w:rPr>
            <w:rStyle w:val="Hyperlink"/>
          </w:rPr>
          <w:t>Citi</w:t>
        </w:r>
      </w:hyperlink>
      <w:r w:rsidR="00F40A72">
        <w:t xml:space="preserve"> and </w:t>
      </w:r>
      <w:hyperlink r:id="rId19" w:history="1">
        <w:r w:rsidR="00F40A72" w:rsidRPr="002F11BF">
          <w:rPr>
            <w:rStyle w:val="Hyperlink"/>
          </w:rPr>
          <w:t>Santander</w:t>
        </w:r>
      </w:hyperlink>
      <w:r w:rsidR="00A716A4">
        <w:t xml:space="preserve"> </w:t>
      </w:r>
      <w:r w:rsidR="002F11BF">
        <w:t xml:space="preserve">also </w:t>
      </w:r>
      <w:r w:rsidR="00F40A72">
        <w:t xml:space="preserve">account for </w:t>
      </w:r>
      <w:r w:rsidR="002F11BF">
        <w:t>5,000 staff</w:t>
      </w:r>
      <w:r w:rsidR="00A716A4">
        <w:t>,</w:t>
      </w:r>
      <w:r w:rsidR="002F11BF">
        <w:t xml:space="preserve"> but at </w:t>
      </w:r>
      <w:r w:rsidR="00B44BA7">
        <w:t xml:space="preserve">fewer </w:t>
      </w:r>
      <w:r w:rsidR="002F11BF">
        <w:t>sites</w:t>
      </w:r>
      <w:r w:rsidR="00B44BA7">
        <w:t xml:space="preserve"> (250)</w:t>
      </w:r>
      <w:r w:rsidR="002F11BF">
        <w:t xml:space="preserve">. Figure </w:t>
      </w:r>
      <w:r w:rsidR="001A1DC6">
        <w:t>1</w:t>
      </w:r>
      <w:r w:rsidR="002F11BF">
        <w:t xml:space="preserve"> below</w:t>
      </w:r>
      <w:r w:rsidR="009423A8">
        <w:t>,</w:t>
      </w:r>
      <w:r w:rsidR="002F11BF">
        <w:t xml:space="preserve"> taken from the report, presents the overall employment activity across the</w:t>
      </w:r>
      <w:r w:rsidR="009423A8">
        <w:t xml:space="preserve"> noted</w:t>
      </w:r>
      <w:r w:rsidR="002F11BF">
        <w:t xml:space="preserve"> </w:t>
      </w:r>
      <w:r w:rsidR="009423A8">
        <w:t>f</w:t>
      </w:r>
      <w:r w:rsidR="002F11BF">
        <w:t xml:space="preserve">inancial </w:t>
      </w:r>
      <w:r w:rsidRPr="00274F89">
        <w:t>sector</w:t>
      </w:r>
      <w:r w:rsidR="002F11BF">
        <w:t>s</w:t>
      </w:r>
      <w:r w:rsidR="00A716A4">
        <w:t>:</w:t>
      </w:r>
    </w:p>
    <w:p w14:paraId="1FD3B808" w14:textId="138BAD76" w:rsidR="002F11BF" w:rsidRDefault="002F11BF" w:rsidP="00A74C75">
      <w:r w:rsidRPr="002F11BF">
        <w:rPr>
          <w:b/>
          <w:sz w:val="20"/>
          <w:szCs w:val="20"/>
        </w:rPr>
        <w:t xml:space="preserve">Figure </w:t>
      </w:r>
      <w:r w:rsidR="001A1DC6">
        <w:rPr>
          <w:b/>
          <w:sz w:val="20"/>
          <w:szCs w:val="20"/>
        </w:rPr>
        <w:t>1:</w:t>
      </w:r>
      <w:r w:rsidRPr="002F11BF">
        <w:rPr>
          <w:b/>
          <w:sz w:val="20"/>
          <w:szCs w:val="20"/>
        </w:rPr>
        <w:t xml:space="preserve"> Employment across Financial Sectors in Northern Ireland</w:t>
      </w:r>
      <w:r>
        <w:rPr>
          <w:rStyle w:val="FootnoteReference"/>
          <w:b/>
          <w:sz w:val="20"/>
          <w:szCs w:val="20"/>
        </w:rPr>
        <w:footnoteReference w:id="5"/>
      </w:r>
    </w:p>
    <w:p w14:paraId="0CA240DC" w14:textId="57241F5B" w:rsidR="00274F89" w:rsidRDefault="00274F89" w:rsidP="00A74C75">
      <w:r>
        <w:rPr>
          <w:noProof/>
        </w:rPr>
        <w:drawing>
          <wp:inline distT="0" distB="0" distL="0" distR="0" wp14:anchorId="6664DF09" wp14:editId="44F3F5AA">
            <wp:extent cx="5701552" cy="2838238"/>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16444" cy="2845651"/>
                    </a:xfrm>
                    <a:prstGeom prst="rect">
                      <a:avLst/>
                    </a:prstGeom>
                  </pic:spPr>
                </pic:pic>
              </a:graphicData>
            </a:graphic>
          </wp:inline>
        </w:drawing>
      </w:r>
    </w:p>
    <w:p w14:paraId="5D10FD9C" w14:textId="4B0CF030" w:rsidR="002F11BF" w:rsidRPr="002F11BF" w:rsidRDefault="002F11BF" w:rsidP="00274F89">
      <w:pPr>
        <w:rPr>
          <w:b/>
          <w:sz w:val="20"/>
          <w:szCs w:val="20"/>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sidRPr="002F11BF">
        <w:rPr>
          <w:b/>
          <w:sz w:val="20"/>
          <w:szCs w:val="20"/>
        </w:rPr>
        <w:t>Source: DfE 2020</w:t>
      </w:r>
    </w:p>
    <w:p w14:paraId="74CC15A6" w14:textId="71F234A5" w:rsidR="00274F89" w:rsidRDefault="00274F89" w:rsidP="00A74C75">
      <w:r w:rsidRPr="00274F89">
        <w:t xml:space="preserve">Key findings from the </w:t>
      </w:r>
      <w:r w:rsidR="00B44BA7">
        <w:t xml:space="preserve">2020 </w:t>
      </w:r>
      <w:r w:rsidRPr="00274F89">
        <w:t xml:space="preserve">report confirmed that the Financial Services sector is a significant contributor to the local economy with a presence spread throughout Northern Ireland. According to the report, </w:t>
      </w:r>
      <w:r w:rsidR="009423A8">
        <w:t xml:space="preserve">whilst </w:t>
      </w:r>
      <w:r w:rsidRPr="00274F89">
        <w:t>banking counts for the majority of employment and office locations, the Fintech subsector is responsible for 15% of employment despite having a share of less than 2% of offices.</w:t>
      </w:r>
      <w:r w:rsidRPr="00274F89">
        <w:rPr>
          <w:vertAlign w:val="superscript"/>
        </w:rPr>
        <w:footnoteReference w:id="6"/>
      </w:r>
      <w:r w:rsidR="001A1DC6">
        <w:t xml:space="preserve"> </w:t>
      </w:r>
      <w:r w:rsidR="009423A8">
        <w:t>Furthermore, the report presents economic a</w:t>
      </w:r>
      <w:r w:rsidR="009423A8" w:rsidRPr="009423A8">
        <w:t xml:space="preserve">ctivity broken down by </w:t>
      </w:r>
      <w:r w:rsidR="009423A8" w:rsidRPr="009423A8">
        <w:lastRenderedPageBreak/>
        <w:t>three key categories</w:t>
      </w:r>
      <w:r w:rsidR="002C6ADB">
        <w:t xml:space="preserve">, </w:t>
      </w:r>
      <w:r w:rsidR="00A716A4">
        <w:t xml:space="preserve">namely </w:t>
      </w:r>
      <w:r w:rsidR="001A1DC6">
        <w:t>f</w:t>
      </w:r>
      <w:r w:rsidR="002C6ADB">
        <w:t xml:space="preserve">ront office, middle office and back office. </w:t>
      </w:r>
      <w:r w:rsidR="0025150C">
        <w:t xml:space="preserve">Table </w:t>
      </w:r>
      <w:r w:rsidR="001A1DC6">
        <w:t>2</w:t>
      </w:r>
      <w:r w:rsidR="0025150C">
        <w:t xml:space="preserve"> </w:t>
      </w:r>
      <w:r w:rsidR="001A1DC6">
        <w:t xml:space="preserve">below, shows that </w:t>
      </w:r>
      <w:r w:rsidR="00C72A75">
        <w:t xml:space="preserve">in 2020 </w:t>
      </w:r>
      <w:r w:rsidR="0025150C">
        <w:t>nearly thr</w:t>
      </w:r>
      <w:r w:rsidR="001A1DC6">
        <w:t>e</w:t>
      </w:r>
      <w:r w:rsidR="0025150C">
        <w:t>e quarter</w:t>
      </w:r>
      <w:r w:rsidR="001A1DC6">
        <w:t>s</w:t>
      </w:r>
      <w:r w:rsidR="0025150C">
        <w:t xml:space="preserve"> of all financial services roles in Northern Ireland </w:t>
      </w:r>
      <w:r w:rsidR="00C72A75">
        <w:t xml:space="preserve">were </w:t>
      </w:r>
      <w:r w:rsidR="0025150C">
        <w:t>back/middle office facing</w:t>
      </w:r>
      <w:r w:rsidR="00A716A4">
        <w:t>:</w:t>
      </w:r>
    </w:p>
    <w:p w14:paraId="6074250C" w14:textId="2D9B8A48" w:rsidR="002C6ADB" w:rsidRPr="00212C9A" w:rsidRDefault="002C6ADB" w:rsidP="00A74C75">
      <w:pPr>
        <w:rPr>
          <w:b/>
          <w:sz w:val="20"/>
          <w:szCs w:val="20"/>
        </w:rPr>
      </w:pPr>
      <w:r w:rsidRPr="00212C9A">
        <w:rPr>
          <w:b/>
          <w:sz w:val="20"/>
          <w:szCs w:val="20"/>
        </w:rPr>
        <w:t>Table</w:t>
      </w:r>
      <w:r w:rsidR="001A1DC6">
        <w:rPr>
          <w:b/>
          <w:sz w:val="20"/>
          <w:szCs w:val="20"/>
        </w:rPr>
        <w:t xml:space="preserve"> 2:</w:t>
      </w:r>
      <w:r w:rsidRPr="00212C9A">
        <w:rPr>
          <w:b/>
          <w:sz w:val="20"/>
          <w:szCs w:val="20"/>
        </w:rPr>
        <w:t xml:space="preserve"> </w:t>
      </w:r>
      <w:r w:rsidR="0025150C" w:rsidRPr="00212C9A">
        <w:rPr>
          <w:b/>
          <w:sz w:val="20"/>
          <w:szCs w:val="20"/>
        </w:rPr>
        <w:t xml:space="preserve"> </w:t>
      </w:r>
      <w:r w:rsidR="001F001E">
        <w:rPr>
          <w:b/>
          <w:sz w:val="20"/>
          <w:szCs w:val="20"/>
        </w:rPr>
        <w:t xml:space="preserve">Northern Ireland Financial Services </w:t>
      </w:r>
      <w:r w:rsidR="0025150C" w:rsidRPr="00212C9A">
        <w:rPr>
          <w:b/>
          <w:sz w:val="20"/>
          <w:szCs w:val="20"/>
        </w:rPr>
        <w:t>Activity broken down by office role</w:t>
      </w:r>
      <w:r w:rsidR="00212C9A">
        <w:rPr>
          <w:rStyle w:val="FootnoteReference"/>
          <w:b/>
          <w:sz w:val="20"/>
          <w:szCs w:val="20"/>
        </w:rPr>
        <w:footnoteReference w:id="7"/>
      </w:r>
    </w:p>
    <w:tbl>
      <w:tblPr>
        <w:tblStyle w:val="TableGrid"/>
        <w:tblW w:w="0" w:type="auto"/>
        <w:tblInd w:w="567" w:type="dxa"/>
        <w:tblLook w:val="04A0" w:firstRow="1" w:lastRow="0" w:firstColumn="1" w:lastColumn="0" w:noHBand="0" w:noVBand="1"/>
      </w:tblPr>
      <w:tblGrid>
        <w:gridCol w:w="1231"/>
        <w:gridCol w:w="4415"/>
        <w:gridCol w:w="1012"/>
        <w:gridCol w:w="1403"/>
      </w:tblGrid>
      <w:tr w:rsidR="002C6ADB" w14:paraId="0F6225C0" w14:textId="77777777" w:rsidTr="001F001E">
        <w:tc>
          <w:tcPr>
            <w:tcW w:w="1231" w:type="dxa"/>
            <w:shd w:val="clear" w:color="auto" w:fill="95B3D7" w:themeFill="accent1" w:themeFillTint="99"/>
          </w:tcPr>
          <w:p w14:paraId="4C6AEC23" w14:textId="36BE7CBF" w:rsidR="002C6ADB" w:rsidRPr="002B0BE2" w:rsidRDefault="002C6ADB" w:rsidP="002C6ADB">
            <w:pPr>
              <w:pStyle w:val="TableText-ColumnHeading"/>
              <w:rPr>
                <w:sz w:val="22"/>
                <w:szCs w:val="22"/>
              </w:rPr>
            </w:pPr>
            <w:r w:rsidRPr="002B0BE2">
              <w:rPr>
                <w:sz w:val="22"/>
                <w:szCs w:val="22"/>
              </w:rPr>
              <w:t>Activity</w:t>
            </w:r>
          </w:p>
        </w:tc>
        <w:tc>
          <w:tcPr>
            <w:tcW w:w="4415" w:type="dxa"/>
            <w:shd w:val="clear" w:color="auto" w:fill="95B3D7" w:themeFill="accent1" w:themeFillTint="99"/>
          </w:tcPr>
          <w:p w14:paraId="3CF1DFF2" w14:textId="0A67CE14" w:rsidR="002C6ADB" w:rsidRPr="002B0BE2" w:rsidRDefault="002C6ADB" w:rsidP="002C6ADB">
            <w:pPr>
              <w:pStyle w:val="TableText-ColumnHeading"/>
              <w:rPr>
                <w:sz w:val="22"/>
                <w:szCs w:val="22"/>
              </w:rPr>
            </w:pPr>
            <w:r w:rsidRPr="002B0BE2">
              <w:rPr>
                <w:sz w:val="22"/>
                <w:szCs w:val="22"/>
              </w:rPr>
              <w:t xml:space="preserve">Description </w:t>
            </w:r>
          </w:p>
        </w:tc>
        <w:tc>
          <w:tcPr>
            <w:tcW w:w="1012" w:type="dxa"/>
            <w:shd w:val="clear" w:color="auto" w:fill="95B3D7" w:themeFill="accent1" w:themeFillTint="99"/>
          </w:tcPr>
          <w:p w14:paraId="1154A969" w14:textId="4314A76D" w:rsidR="002C6ADB" w:rsidRPr="002B0BE2" w:rsidRDefault="002C6ADB" w:rsidP="002C6ADB">
            <w:pPr>
              <w:pStyle w:val="TableText-ColumnHeading"/>
              <w:rPr>
                <w:sz w:val="22"/>
                <w:szCs w:val="22"/>
              </w:rPr>
            </w:pPr>
            <w:r w:rsidRPr="002B0BE2">
              <w:rPr>
                <w:sz w:val="22"/>
                <w:szCs w:val="22"/>
              </w:rPr>
              <w:t xml:space="preserve">Roles </w:t>
            </w:r>
          </w:p>
        </w:tc>
        <w:tc>
          <w:tcPr>
            <w:tcW w:w="992" w:type="dxa"/>
            <w:shd w:val="clear" w:color="auto" w:fill="95B3D7" w:themeFill="accent1" w:themeFillTint="99"/>
          </w:tcPr>
          <w:p w14:paraId="2629099A" w14:textId="4134CD0A" w:rsidR="002C6ADB" w:rsidRPr="002B0BE2" w:rsidRDefault="001F001E" w:rsidP="002C6ADB">
            <w:pPr>
              <w:pStyle w:val="TableText-ColumnHeading"/>
              <w:rPr>
                <w:sz w:val="22"/>
                <w:szCs w:val="22"/>
              </w:rPr>
            </w:pPr>
            <w:r>
              <w:rPr>
                <w:sz w:val="22"/>
                <w:szCs w:val="22"/>
              </w:rPr>
              <w:t>Percentage</w:t>
            </w:r>
            <w:r w:rsidR="002C6ADB" w:rsidRPr="002B0BE2">
              <w:rPr>
                <w:sz w:val="22"/>
                <w:szCs w:val="22"/>
              </w:rPr>
              <w:t xml:space="preserve"> </w:t>
            </w:r>
          </w:p>
        </w:tc>
      </w:tr>
      <w:tr w:rsidR="002C6ADB" w14:paraId="463C4197" w14:textId="77777777" w:rsidTr="001F001E">
        <w:tc>
          <w:tcPr>
            <w:tcW w:w="1231" w:type="dxa"/>
            <w:shd w:val="clear" w:color="auto" w:fill="95B3D7" w:themeFill="accent1" w:themeFillTint="99"/>
          </w:tcPr>
          <w:p w14:paraId="434EF132" w14:textId="57EF7737" w:rsidR="002C6ADB" w:rsidRPr="002B0BE2" w:rsidRDefault="002C6ADB" w:rsidP="002C6ADB">
            <w:pPr>
              <w:pStyle w:val="TableText-ColumnHeading"/>
              <w:rPr>
                <w:sz w:val="22"/>
                <w:szCs w:val="22"/>
              </w:rPr>
            </w:pPr>
            <w:r w:rsidRPr="002B0BE2">
              <w:rPr>
                <w:sz w:val="22"/>
                <w:szCs w:val="22"/>
              </w:rPr>
              <w:t>Front Office</w:t>
            </w:r>
          </w:p>
        </w:tc>
        <w:tc>
          <w:tcPr>
            <w:tcW w:w="4415" w:type="dxa"/>
          </w:tcPr>
          <w:p w14:paraId="4687D8B7" w14:textId="31DF5978" w:rsidR="002C6ADB" w:rsidRPr="002B0BE2" w:rsidRDefault="002C6ADB" w:rsidP="002C6ADB">
            <w:pPr>
              <w:pStyle w:val="TableText"/>
              <w:rPr>
                <w:sz w:val="22"/>
                <w:szCs w:val="22"/>
              </w:rPr>
            </w:pPr>
            <w:r w:rsidRPr="002B0BE2">
              <w:rPr>
                <w:sz w:val="22"/>
                <w:szCs w:val="22"/>
              </w:rPr>
              <w:t>Primarily client facing roles including; cashiers and financial advisors.</w:t>
            </w:r>
          </w:p>
        </w:tc>
        <w:tc>
          <w:tcPr>
            <w:tcW w:w="1012" w:type="dxa"/>
          </w:tcPr>
          <w:p w14:paraId="61671B77" w14:textId="4CD745F4" w:rsidR="002C6ADB" w:rsidRPr="002B0BE2" w:rsidRDefault="002C6ADB" w:rsidP="002C6ADB">
            <w:pPr>
              <w:pStyle w:val="TableText"/>
              <w:rPr>
                <w:sz w:val="22"/>
                <w:szCs w:val="22"/>
              </w:rPr>
            </w:pPr>
            <w:r w:rsidRPr="002B0BE2">
              <w:rPr>
                <w:sz w:val="22"/>
                <w:szCs w:val="22"/>
              </w:rPr>
              <w:t>6,750</w:t>
            </w:r>
          </w:p>
        </w:tc>
        <w:tc>
          <w:tcPr>
            <w:tcW w:w="992" w:type="dxa"/>
          </w:tcPr>
          <w:p w14:paraId="6491BE3E" w14:textId="6F1692DD" w:rsidR="002C6ADB" w:rsidRPr="002B0BE2" w:rsidRDefault="002C6ADB" w:rsidP="002C6ADB">
            <w:pPr>
              <w:pStyle w:val="TableText"/>
              <w:rPr>
                <w:sz w:val="22"/>
                <w:szCs w:val="22"/>
              </w:rPr>
            </w:pPr>
            <w:r w:rsidRPr="002B0BE2">
              <w:rPr>
                <w:sz w:val="22"/>
                <w:szCs w:val="22"/>
              </w:rPr>
              <w:t>28%</w:t>
            </w:r>
          </w:p>
        </w:tc>
      </w:tr>
      <w:tr w:rsidR="002C6ADB" w14:paraId="65631C03" w14:textId="77777777" w:rsidTr="001F001E">
        <w:tc>
          <w:tcPr>
            <w:tcW w:w="1231" w:type="dxa"/>
            <w:shd w:val="clear" w:color="auto" w:fill="95B3D7" w:themeFill="accent1" w:themeFillTint="99"/>
          </w:tcPr>
          <w:p w14:paraId="10AD1B5F" w14:textId="09EA8FE6" w:rsidR="002C6ADB" w:rsidRPr="002B0BE2" w:rsidRDefault="002C6ADB" w:rsidP="002C6ADB">
            <w:pPr>
              <w:pStyle w:val="TableText-ColumnHeading"/>
              <w:rPr>
                <w:sz w:val="22"/>
                <w:szCs w:val="22"/>
              </w:rPr>
            </w:pPr>
            <w:r w:rsidRPr="002B0BE2">
              <w:rPr>
                <w:sz w:val="22"/>
                <w:szCs w:val="22"/>
              </w:rPr>
              <w:t>Middle Office</w:t>
            </w:r>
          </w:p>
        </w:tc>
        <w:tc>
          <w:tcPr>
            <w:tcW w:w="4415" w:type="dxa"/>
          </w:tcPr>
          <w:p w14:paraId="5BFFB2FF" w14:textId="1A83A077" w:rsidR="002C6ADB" w:rsidRPr="002B0BE2" w:rsidRDefault="002C6ADB" w:rsidP="002C6ADB">
            <w:pPr>
              <w:pStyle w:val="TableText"/>
              <w:rPr>
                <w:sz w:val="22"/>
                <w:szCs w:val="22"/>
              </w:rPr>
            </w:pPr>
            <w:r w:rsidRPr="002B0BE2">
              <w:rPr>
                <w:sz w:val="22"/>
                <w:szCs w:val="22"/>
                <w:lang w:val="en-US"/>
              </w:rPr>
              <w:t>Skilled roles that occur out of sight of customers that are directed towards management and operations including; senior management and risk teams.</w:t>
            </w:r>
          </w:p>
        </w:tc>
        <w:tc>
          <w:tcPr>
            <w:tcW w:w="1012" w:type="dxa"/>
          </w:tcPr>
          <w:p w14:paraId="43513059" w14:textId="442FB13C" w:rsidR="002C6ADB" w:rsidRPr="002B0BE2" w:rsidRDefault="002C6ADB" w:rsidP="002C6ADB">
            <w:pPr>
              <w:pStyle w:val="TableText"/>
              <w:rPr>
                <w:sz w:val="22"/>
                <w:szCs w:val="22"/>
              </w:rPr>
            </w:pPr>
            <w:r w:rsidRPr="002B0BE2">
              <w:rPr>
                <w:sz w:val="22"/>
                <w:szCs w:val="22"/>
              </w:rPr>
              <w:t>8,950</w:t>
            </w:r>
          </w:p>
        </w:tc>
        <w:tc>
          <w:tcPr>
            <w:tcW w:w="992" w:type="dxa"/>
          </w:tcPr>
          <w:p w14:paraId="7B82D645" w14:textId="780D3BBC" w:rsidR="002C6ADB" w:rsidRPr="002B0BE2" w:rsidRDefault="002C6ADB" w:rsidP="002C6ADB">
            <w:pPr>
              <w:pStyle w:val="TableText"/>
              <w:rPr>
                <w:sz w:val="22"/>
                <w:szCs w:val="22"/>
              </w:rPr>
            </w:pPr>
            <w:r w:rsidRPr="002B0BE2">
              <w:rPr>
                <w:sz w:val="22"/>
                <w:szCs w:val="22"/>
              </w:rPr>
              <w:t>37%</w:t>
            </w:r>
          </w:p>
        </w:tc>
      </w:tr>
      <w:tr w:rsidR="002C6ADB" w14:paraId="5EBF7671" w14:textId="77777777" w:rsidTr="001F001E">
        <w:tc>
          <w:tcPr>
            <w:tcW w:w="1231" w:type="dxa"/>
            <w:shd w:val="clear" w:color="auto" w:fill="95B3D7" w:themeFill="accent1" w:themeFillTint="99"/>
          </w:tcPr>
          <w:p w14:paraId="26367E2D" w14:textId="6C3FC6ED" w:rsidR="002C6ADB" w:rsidRPr="002B0BE2" w:rsidRDefault="002C6ADB" w:rsidP="002C6ADB">
            <w:pPr>
              <w:pStyle w:val="TableText-ColumnHeading"/>
              <w:rPr>
                <w:sz w:val="22"/>
                <w:szCs w:val="22"/>
              </w:rPr>
            </w:pPr>
            <w:r w:rsidRPr="002B0BE2">
              <w:rPr>
                <w:sz w:val="22"/>
                <w:szCs w:val="22"/>
              </w:rPr>
              <w:t>Back Office</w:t>
            </w:r>
          </w:p>
        </w:tc>
        <w:tc>
          <w:tcPr>
            <w:tcW w:w="4415" w:type="dxa"/>
          </w:tcPr>
          <w:p w14:paraId="13934B15" w14:textId="41E0467C" w:rsidR="002C6ADB" w:rsidRPr="002B0BE2" w:rsidRDefault="002C6ADB" w:rsidP="002C6ADB">
            <w:pPr>
              <w:pStyle w:val="TableText"/>
              <w:rPr>
                <w:sz w:val="22"/>
                <w:szCs w:val="22"/>
              </w:rPr>
            </w:pPr>
            <w:r w:rsidRPr="002B0BE2">
              <w:rPr>
                <w:sz w:val="22"/>
                <w:szCs w:val="22"/>
                <w:lang w:val="en-US"/>
              </w:rPr>
              <w:t>Supporting roles that assist with customer engagement and company function including; contact centre staff, technology developers and HR.</w:t>
            </w:r>
          </w:p>
        </w:tc>
        <w:tc>
          <w:tcPr>
            <w:tcW w:w="1012" w:type="dxa"/>
          </w:tcPr>
          <w:p w14:paraId="6F0B6A81" w14:textId="1DCEB591" w:rsidR="002C6ADB" w:rsidRPr="002B0BE2" w:rsidRDefault="002C6ADB" w:rsidP="002C6ADB">
            <w:pPr>
              <w:pStyle w:val="TableText"/>
              <w:rPr>
                <w:sz w:val="22"/>
                <w:szCs w:val="22"/>
              </w:rPr>
            </w:pPr>
            <w:r w:rsidRPr="002B0BE2">
              <w:rPr>
                <w:sz w:val="22"/>
                <w:szCs w:val="22"/>
              </w:rPr>
              <w:t>8,290</w:t>
            </w:r>
          </w:p>
        </w:tc>
        <w:tc>
          <w:tcPr>
            <w:tcW w:w="992" w:type="dxa"/>
          </w:tcPr>
          <w:p w14:paraId="14B42A17" w14:textId="4A36D0A5" w:rsidR="002C6ADB" w:rsidRPr="002B0BE2" w:rsidRDefault="002C6ADB" w:rsidP="002C6ADB">
            <w:pPr>
              <w:pStyle w:val="TableText"/>
              <w:rPr>
                <w:sz w:val="22"/>
                <w:szCs w:val="22"/>
              </w:rPr>
            </w:pPr>
            <w:r w:rsidRPr="002B0BE2">
              <w:rPr>
                <w:sz w:val="22"/>
                <w:szCs w:val="22"/>
              </w:rPr>
              <w:t>35%</w:t>
            </w:r>
          </w:p>
        </w:tc>
      </w:tr>
    </w:tbl>
    <w:p w14:paraId="4E38BB22" w14:textId="0227F4F2" w:rsidR="002C6ADB" w:rsidRPr="00212C9A" w:rsidRDefault="001A1DC6" w:rsidP="00A74C75">
      <w:pPr>
        <w:rPr>
          <w:b/>
          <w:sz w:val="20"/>
          <w:szCs w:val="20"/>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sidR="00212C9A" w:rsidRPr="00212C9A">
        <w:rPr>
          <w:b/>
          <w:sz w:val="20"/>
          <w:szCs w:val="20"/>
        </w:rPr>
        <w:t>Source: DfE 2020</w:t>
      </w:r>
    </w:p>
    <w:p w14:paraId="765BCA82" w14:textId="5D5F4D85" w:rsidR="001F001E" w:rsidRPr="0017645B" w:rsidRDefault="000F23E8" w:rsidP="004A458D">
      <w:pPr>
        <w:rPr>
          <w:b/>
        </w:rPr>
      </w:pPr>
      <w:r w:rsidRPr="0017645B">
        <w:rPr>
          <w:b/>
        </w:rPr>
        <w:t>Invest Northern Ireland</w:t>
      </w:r>
      <w:r w:rsidR="001F001E" w:rsidRPr="0017645B">
        <w:rPr>
          <w:b/>
        </w:rPr>
        <w:t xml:space="preserve"> Overview</w:t>
      </w:r>
    </w:p>
    <w:p w14:paraId="78EB1D95" w14:textId="1121CB0C" w:rsidR="004A458D" w:rsidRDefault="000F23E8" w:rsidP="0068640B">
      <w:r w:rsidRPr="000F23E8">
        <w:t xml:space="preserve">Northern Ireland’s business development agency, Invest Northern Ireland, </w:t>
      </w:r>
      <w:r>
        <w:t xml:space="preserve">also </w:t>
      </w:r>
      <w:r w:rsidRPr="000F23E8">
        <w:t>provide an overview of the financial services sector expertise, including digital technologies such as fintech, cyber security and AI.</w:t>
      </w:r>
      <w:r>
        <w:t xml:space="preserve"> </w:t>
      </w:r>
      <w:r w:rsidR="00A716A4">
        <w:t xml:space="preserve">For greater explanation of that overview, a </w:t>
      </w:r>
      <w:r>
        <w:t xml:space="preserve">summary is </w:t>
      </w:r>
      <w:r w:rsidR="001F001E">
        <w:t xml:space="preserve">presented </w:t>
      </w:r>
      <w:r w:rsidR="00E30A8D">
        <w:t xml:space="preserve">in two tables </w:t>
      </w:r>
      <w:r>
        <w:t xml:space="preserve">at </w:t>
      </w:r>
      <w:r w:rsidR="001F001E">
        <w:t>A</w:t>
      </w:r>
      <w:r>
        <w:t>ppendix 1 of this Paper.</w:t>
      </w:r>
    </w:p>
    <w:p w14:paraId="2B620F14" w14:textId="12604493" w:rsidR="004A458D" w:rsidRDefault="000B4B2F" w:rsidP="000B4B2F">
      <w:pPr>
        <w:pStyle w:val="Heading3"/>
      </w:pPr>
      <w:r>
        <w:t xml:space="preserve">Banking Services in Northern Ireland </w:t>
      </w:r>
    </w:p>
    <w:p w14:paraId="4266BDBB" w14:textId="38DF97B3" w:rsidR="00A16FC4" w:rsidRDefault="000B4B2F" w:rsidP="00BD6258">
      <w:pPr>
        <w:rPr>
          <w:lang w:eastAsia="en-GB"/>
        </w:rPr>
      </w:pPr>
      <w:r w:rsidRPr="000B4B2F">
        <w:rPr>
          <w:lang w:val="en-GB" w:eastAsia="en-GB"/>
        </w:rPr>
        <w:t xml:space="preserve">In June 2023, the Consumer Council Northern Ireland </w:t>
      </w:r>
      <w:r>
        <w:rPr>
          <w:lang w:val="en-GB" w:eastAsia="en-GB"/>
        </w:rPr>
        <w:t xml:space="preserve">(CCNI) </w:t>
      </w:r>
      <w:r w:rsidRPr="000B4B2F">
        <w:rPr>
          <w:lang w:val="en-GB" w:eastAsia="en-GB"/>
        </w:rPr>
        <w:t xml:space="preserve">published </w:t>
      </w:r>
      <w:hyperlink r:id="rId21" w:history="1">
        <w:r w:rsidRPr="000B4B2F">
          <w:rPr>
            <w:rStyle w:val="Hyperlink"/>
            <w:lang w:val="en-GB" w:eastAsia="en-GB"/>
          </w:rPr>
          <w:t>Access to Banking Services in Northern Ireland</w:t>
        </w:r>
      </w:hyperlink>
      <w:r>
        <w:rPr>
          <w:lang w:val="en-GB" w:eastAsia="en-GB"/>
        </w:rPr>
        <w:t>,</w:t>
      </w:r>
      <w:r w:rsidR="001B237E">
        <w:rPr>
          <w:lang w:val="en-GB" w:eastAsia="en-GB"/>
        </w:rPr>
        <w:t xml:space="preserve"> </w:t>
      </w:r>
      <w:r w:rsidRPr="000B4B2F">
        <w:rPr>
          <w:lang w:val="en-GB" w:eastAsia="en-GB"/>
        </w:rPr>
        <w:t>an analysis of bank closures across Northern Ireland from 2020 to early 2023</w:t>
      </w:r>
      <w:r>
        <w:rPr>
          <w:lang w:val="en-GB" w:eastAsia="en-GB"/>
        </w:rPr>
        <w:t xml:space="preserve">. That </w:t>
      </w:r>
      <w:r w:rsidR="00A716A4">
        <w:rPr>
          <w:lang w:val="en-GB" w:eastAsia="en-GB"/>
        </w:rPr>
        <w:t xml:space="preserve">CCNI </w:t>
      </w:r>
      <w:r>
        <w:rPr>
          <w:lang w:val="en-GB" w:eastAsia="en-GB"/>
        </w:rPr>
        <w:t xml:space="preserve">report included a map </w:t>
      </w:r>
      <w:r w:rsidR="001B237E">
        <w:rPr>
          <w:lang w:val="en-GB" w:eastAsia="en-GB"/>
        </w:rPr>
        <w:t>re</w:t>
      </w:r>
      <w:r>
        <w:rPr>
          <w:lang w:val="en-GB" w:eastAsia="en-GB"/>
        </w:rPr>
        <w:t>presenting</w:t>
      </w:r>
      <w:r w:rsidRPr="000B4B2F">
        <w:rPr>
          <w:lang w:eastAsia="en-GB"/>
        </w:rPr>
        <w:t xml:space="preserve"> the availability of banking services </w:t>
      </w:r>
      <w:r w:rsidR="001B237E">
        <w:rPr>
          <w:lang w:eastAsia="en-GB"/>
        </w:rPr>
        <w:t>(</w:t>
      </w:r>
      <w:r w:rsidR="00090293" w:rsidRPr="001B237E">
        <w:rPr>
          <w:lang w:eastAsia="en-GB"/>
        </w:rPr>
        <w:t xml:space="preserve">Post Offices and Bank </w:t>
      </w:r>
      <w:r w:rsidR="00090293" w:rsidRPr="001B237E">
        <w:rPr>
          <w:lang w:eastAsia="en-GB"/>
        </w:rPr>
        <w:lastRenderedPageBreak/>
        <w:t>Branche</w:t>
      </w:r>
      <w:r w:rsidR="001B237E" w:rsidRPr="001B237E">
        <w:rPr>
          <w:lang w:eastAsia="en-GB"/>
        </w:rPr>
        <w:t>s</w:t>
      </w:r>
      <w:r w:rsidR="001B237E">
        <w:rPr>
          <w:lang w:eastAsia="en-GB"/>
        </w:rPr>
        <w:t>)</w:t>
      </w:r>
      <w:r w:rsidR="001B237E" w:rsidRPr="001B237E">
        <w:rPr>
          <w:lang w:eastAsia="en-GB"/>
        </w:rPr>
        <w:t xml:space="preserve"> </w:t>
      </w:r>
      <w:r w:rsidRPr="000B4B2F">
        <w:rPr>
          <w:lang w:eastAsia="en-GB"/>
        </w:rPr>
        <w:t>across Northern Ireland</w:t>
      </w:r>
      <w:r w:rsidR="001B237E">
        <w:rPr>
          <w:lang w:eastAsia="en-GB"/>
        </w:rPr>
        <w:t>’s electoral wards</w:t>
      </w:r>
      <w:r w:rsidRPr="000B4B2F">
        <w:rPr>
          <w:lang w:eastAsia="en-GB"/>
        </w:rPr>
        <w:t>. Th</w:t>
      </w:r>
      <w:r w:rsidR="001B237E">
        <w:rPr>
          <w:lang w:eastAsia="en-GB"/>
        </w:rPr>
        <w:t>at</w:t>
      </w:r>
      <w:r w:rsidRPr="000B4B2F">
        <w:rPr>
          <w:lang w:eastAsia="en-GB"/>
        </w:rPr>
        <w:t xml:space="preserve"> map </w:t>
      </w:r>
      <w:r>
        <w:rPr>
          <w:lang w:eastAsia="en-GB"/>
        </w:rPr>
        <w:t>is reproduced</w:t>
      </w:r>
      <w:r w:rsidR="001B237E">
        <w:rPr>
          <w:lang w:eastAsia="en-GB"/>
        </w:rPr>
        <w:t xml:space="preserve"> below </w:t>
      </w:r>
      <w:r>
        <w:rPr>
          <w:lang w:eastAsia="en-GB"/>
        </w:rPr>
        <w:t xml:space="preserve">at Figure </w:t>
      </w:r>
      <w:r w:rsidR="001B237E">
        <w:rPr>
          <w:lang w:eastAsia="en-GB"/>
        </w:rPr>
        <w:t>2</w:t>
      </w:r>
      <w:r>
        <w:rPr>
          <w:lang w:eastAsia="en-GB"/>
        </w:rPr>
        <w:t>.</w:t>
      </w:r>
      <w:r w:rsidRPr="000B4B2F">
        <w:rPr>
          <w:lang w:eastAsia="en-GB"/>
        </w:rPr>
        <w:t xml:space="preserve"> </w:t>
      </w:r>
      <w:r w:rsidR="00EF58A9">
        <w:rPr>
          <w:lang w:eastAsia="en-GB"/>
        </w:rPr>
        <w:t xml:space="preserve">The </w:t>
      </w:r>
      <w:r w:rsidR="00A16FC4">
        <w:rPr>
          <w:lang w:eastAsia="en-GB"/>
        </w:rPr>
        <w:t>C</w:t>
      </w:r>
      <w:r w:rsidR="00B91EF2">
        <w:rPr>
          <w:lang w:eastAsia="en-GB"/>
        </w:rPr>
        <w:t>CNI</w:t>
      </w:r>
      <w:r w:rsidR="00A16FC4">
        <w:rPr>
          <w:lang w:eastAsia="en-GB"/>
        </w:rPr>
        <w:t xml:space="preserve"> explain the colour coding on the map as follows:</w:t>
      </w:r>
      <w:r w:rsidR="00B91EF2">
        <w:rPr>
          <w:rStyle w:val="FootnoteReference"/>
          <w:lang w:eastAsia="en-GB"/>
        </w:rPr>
        <w:footnoteReference w:id="8"/>
      </w:r>
    </w:p>
    <w:p w14:paraId="0B564E54" w14:textId="1E2A4EAF" w:rsidR="00A16FC4" w:rsidRPr="00A16FC4" w:rsidRDefault="00A16FC4" w:rsidP="00A16FC4">
      <w:pPr>
        <w:ind w:left="1191" w:right="1191"/>
        <w:rPr>
          <w:i/>
          <w:iCs/>
          <w:lang w:eastAsia="en-GB"/>
        </w:rPr>
      </w:pPr>
      <w:r w:rsidRPr="00A16FC4">
        <w:rPr>
          <w:i/>
          <w:iCs/>
          <w:lang w:eastAsia="en-GB"/>
        </w:rPr>
        <w:t>[the map] below indicates the availability of banking services across Northern Ireland. The map is split into electoral wards which are colour coded depending on the number of banking services available within each ward. The darker the ward, the more banking services available (yellow = 0 services, dark blue = 4 or more services).</w:t>
      </w:r>
    </w:p>
    <w:p w14:paraId="255F3642" w14:textId="5AF1E89C" w:rsidR="00090293" w:rsidRDefault="00A16FC4" w:rsidP="00BD6258">
      <w:pPr>
        <w:rPr>
          <w:lang w:eastAsia="en-GB"/>
        </w:rPr>
      </w:pPr>
      <w:r>
        <w:rPr>
          <w:lang w:eastAsia="en-GB"/>
        </w:rPr>
        <w:t>As we see from Figure 2</w:t>
      </w:r>
      <w:r w:rsidR="00A716A4">
        <w:rPr>
          <w:lang w:eastAsia="en-GB"/>
        </w:rPr>
        <w:t xml:space="preserve"> below</w:t>
      </w:r>
      <w:r>
        <w:rPr>
          <w:lang w:eastAsia="en-GB"/>
        </w:rPr>
        <w:t xml:space="preserve">, </w:t>
      </w:r>
      <w:r w:rsidR="001B237E">
        <w:rPr>
          <w:lang w:eastAsia="en-GB"/>
        </w:rPr>
        <w:t>out of</w:t>
      </w:r>
      <w:r w:rsidR="00090293">
        <w:rPr>
          <w:lang w:eastAsia="en-GB"/>
        </w:rPr>
        <w:t xml:space="preserve"> a total of</w:t>
      </w:r>
      <w:r w:rsidR="000B4B2F" w:rsidRPr="000B4B2F">
        <w:rPr>
          <w:lang w:eastAsia="en-GB"/>
        </w:rPr>
        <w:t xml:space="preserve"> 462 electoral wards,166 have </w:t>
      </w:r>
      <w:r w:rsidR="00090293">
        <w:rPr>
          <w:lang w:eastAsia="en-GB"/>
        </w:rPr>
        <w:t xml:space="preserve">two </w:t>
      </w:r>
      <w:r w:rsidR="000B4B2F" w:rsidRPr="000B4B2F">
        <w:rPr>
          <w:lang w:eastAsia="en-GB"/>
        </w:rPr>
        <w:t xml:space="preserve">or more banking services within their boundaries, 187 have just </w:t>
      </w:r>
      <w:r w:rsidR="00090293">
        <w:rPr>
          <w:lang w:eastAsia="en-GB"/>
        </w:rPr>
        <w:t>one</w:t>
      </w:r>
      <w:r w:rsidR="000B4B2F" w:rsidRPr="000B4B2F">
        <w:rPr>
          <w:lang w:eastAsia="en-GB"/>
        </w:rPr>
        <w:t xml:space="preserve"> banking service and 109 have no banking service at all</w:t>
      </w:r>
      <w:r w:rsidR="00A716A4">
        <w:rPr>
          <w:lang w:eastAsia="en-GB"/>
        </w:rPr>
        <w:t>:</w:t>
      </w:r>
    </w:p>
    <w:p w14:paraId="3CBACE04" w14:textId="67814541" w:rsidR="00090293" w:rsidRPr="00090293" w:rsidRDefault="00090293" w:rsidP="0068640B">
      <w:pPr>
        <w:rPr>
          <w:b/>
          <w:sz w:val="20"/>
          <w:szCs w:val="20"/>
          <w:lang w:eastAsia="en-GB"/>
        </w:rPr>
      </w:pPr>
      <w:r w:rsidRPr="00090293">
        <w:rPr>
          <w:b/>
          <w:sz w:val="20"/>
          <w:szCs w:val="20"/>
          <w:lang w:eastAsia="en-GB"/>
        </w:rPr>
        <w:t xml:space="preserve">Figure </w:t>
      </w:r>
      <w:r w:rsidR="001B237E">
        <w:rPr>
          <w:b/>
          <w:sz w:val="20"/>
          <w:szCs w:val="20"/>
          <w:lang w:eastAsia="en-GB"/>
        </w:rPr>
        <w:t>2</w:t>
      </w:r>
      <w:r w:rsidRPr="00090293">
        <w:rPr>
          <w:b/>
          <w:sz w:val="20"/>
          <w:szCs w:val="20"/>
          <w:lang w:eastAsia="en-GB"/>
        </w:rPr>
        <w:t xml:space="preserve"> Banking Services in Northern Ireland (Post Offices and Bank Branches</w:t>
      </w:r>
      <w:r>
        <w:rPr>
          <w:b/>
          <w:sz w:val="20"/>
          <w:szCs w:val="20"/>
          <w:lang w:eastAsia="en-GB"/>
        </w:rPr>
        <w:t>)</w:t>
      </w:r>
      <w:r w:rsidR="00BD6258">
        <w:rPr>
          <w:rStyle w:val="FootnoteReference"/>
          <w:b/>
          <w:sz w:val="20"/>
          <w:szCs w:val="20"/>
          <w:lang w:eastAsia="en-GB"/>
        </w:rPr>
        <w:footnoteReference w:id="9"/>
      </w:r>
    </w:p>
    <w:p w14:paraId="5A75D990" w14:textId="459CD7F0" w:rsidR="004A458D" w:rsidRDefault="00EF58A9" w:rsidP="0068640B">
      <w:r>
        <w:rPr>
          <w:noProof/>
        </w:rPr>
        <w:drawing>
          <wp:inline distT="0" distB="0" distL="0" distR="0" wp14:anchorId="2D14EAD4" wp14:editId="615AC431">
            <wp:extent cx="5192202" cy="3704590"/>
            <wp:effectExtent l="0" t="0" r="889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206245" cy="3714610"/>
                    </a:xfrm>
                    <a:prstGeom prst="rect">
                      <a:avLst/>
                    </a:prstGeom>
                  </pic:spPr>
                </pic:pic>
              </a:graphicData>
            </a:graphic>
          </wp:inline>
        </w:drawing>
      </w:r>
    </w:p>
    <w:p w14:paraId="5B762F93" w14:textId="237A5525" w:rsidR="00090293" w:rsidRDefault="00090293" w:rsidP="00090293">
      <w:pPr>
        <w:rPr>
          <w:b/>
          <w:sz w:val="20"/>
          <w:szCs w:val="20"/>
        </w:rPr>
      </w:pPr>
      <w:r>
        <w:rPr>
          <w:b/>
          <w:sz w:val="20"/>
          <w:szCs w:val="20"/>
        </w:rPr>
        <w:tab/>
      </w:r>
      <w:r>
        <w:rPr>
          <w:b/>
          <w:sz w:val="20"/>
          <w:szCs w:val="20"/>
        </w:rPr>
        <w:tab/>
      </w:r>
      <w:r>
        <w:rPr>
          <w:b/>
          <w:sz w:val="20"/>
          <w:szCs w:val="20"/>
        </w:rPr>
        <w:tab/>
      </w:r>
      <w:r>
        <w:rPr>
          <w:b/>
          <w:sz w:val="20"/>
          <w:szCs w:val="20"/>
        </w:rPr>
        <w:tab/>
      </w:r>
      <w:r w:rsidR="00EF58A9">
        <w:rPr>
          <w:b/>
          <w:sz w:val="20"/>
          <w:szCs w:val="20"/>
        </w:rPr>
        <w:tab/>
      </w:r>
      <w:r w:rsidR="00EF58A9">
        <w:rPr>
          <w:b/>
          <w:sz w:val="20"/>
          <w:szCs w:val="20"/>
        </w:rPr>
        <w:tab/>
      </w:r>
      <w:r w:rsidR="00B91EF2">
        <w:rPr>
          <w:b/>
          <w:sz w:val="20"/>
          <w:szCs w:val="20"/>
        </w:rPr>
        <w:tab/>
      </w:r>
      <w:r w:rsidR="00A13901">
        <w:rPr>
          <w:b/>
          <w:sz w:val="20"/>
          <w:szCs w:val="20"/>
        </w:rPr>
        <w:tab/>
      </w:r>
      <w:r w:rsidR="00A13901">
        <w:rPr>
          <w:b/>
          <w:sz w:val="20"/>
          <w:szCs w:val="20"/>
        </w:rPr>
        <w:tab/>
      </w:r>
      <w:r w:rsidR="00EF58A9" w:rsidRPr="00A13901">
        <w:rPr>
          <w:b/>
          <w:sz w:val="18"/>
          <w:szCs w:val="18"/>
        </w:rPr>
        <w:t xml:space="preserve">Source: </w:t>
      </w:r>
      <w:r w:rsidR="00B91EF2" w:rsidRPr="00A13901">
        <w:rPr>
          <w:b/>
          <w:sz w:val="18"/>
          <w:szCs w:val="18"/>
        </w:rPr>
        <w:t>CCNI</w:t>
      </w:r>
      <w:r w:rsidR="00EF58A9" w:rsidRPr="00A13901">
        <w:rPr>
          <w:b/>
          <w:sz w:val="18"/>
          <w:szCs w:val="18"/>
        </w:rPr>
        <w:t xml:space="preserve"> (2023</w:t>
      </w:r>
      <w:r w:rsidR="00EF58A9" w:rsidRPr="00EF58A9">
        <w:rPr>
          <w:b/>
          <w:sz w:val="20"/>
          <w:szCs w:val="20"/>
        </w:rPr>
        <w:t>)</w:t>
      </w:r>
      <w:r>
        <w:rPr>
          <w:b/>
          <w:sz w:val="20"/>
          <w:szCs w:val="20"/>
        </w:rPr>
        <w:tab/>
      </w:r>
      <w:r>
        <w:rPr>
          <w:b/>
          <w:sz w:val="20"/>
          <w:szCs w:val="20"/>
        </w:rPr>
        <w:tab/>
      </w:r>
    </w:p>
    <w:p w14:paraId="679E5CE4" w14:textId="760299BF" w:rsidR="0068640B" w:rsidRDefault="0068640B" w:rsidP="00090293">
      <w:pPr>
        <w:pStyle w:val="Heading2"/>
      </w:pPr>
      <w:r w:rsidRPr="00C115E7">
        <w:lastRenderedPageBreak/>
        <w:t>Access</w:t>
      </w:r>
      <w:r w:rsidR="001B237E">
        <w:t xml:space="preserve"> to </w:t>
      </w:r>
      <w:r w:rsidRPr="00C115E7">
        <w:t>Cash in Northern Ireland</w:t>
      </w:r>
    </w:p>
    <w:p w14:paraId="6105A104" w14:textId="651BCD64" w:rsidR="00B91EF2" w:rsidRPr="00090293" w:rsidRDefault="00090293" w:rsidP="00090293">
      <w:pPr>
        <w:rPr>
          <w:lang w:val="en-GB" w:eastAsia="en-GB"/>
        </w:rPr>
      </w:pPr>
      <w:r>
        <w:rPr>
          <w:lang w:val="en-GB" w:eastAsia="en-GB"/>
        </w:rPr>
        <w:t xml:space="preserve">This section </w:t>
      </w:r>
      <w:r w:rsidR="00B91EF2" w:rsidRPr="00B91EF2">
        <w:rPr>
          <w:lang w:eastAsia="en-GB"/>
        </w:rPr>
        <w:t xml:space="preserve">highlights the number of cash access points and the population’s proximity to “Free to Use” cash access points across urban and rural areas in Northern Ireland. </w:t>
      </w:r>
    </w:p>
    <w:p w14:paraId="0C72B504" w14:textId="2F224901" w:rsidR="004D387B" w:rsidRDefault="002324B9" w:rsidP="004D387B">
      <w:pPr>
        <w:pStyle w:val="Heading3"/>
      </w:pPr>
      <w:r>
        <w:t xml:space="preserve">Number of </w:t>
      </w:r>
      <w:r w:rsidR="004D387B">
        <w:t>Cash Access Points</w:t>
      </w:r>
    </w:p>
    <w:p w14:paraId="1353FB6C" w14:textId="2E51C4F4" w:rsidR="00F14BB1" w:rsidRDefault="0068640B" w:rsidP="0068640B">
      <w:r>
        <w:t xml:space="preserve">In Northern Ireland, cash is made available to customers from a range of </w:t>
      </w:r>
      <w:r w:rsidRPr="00031F4A">
        <w:t>commercial entities such as banks, post offices, shops</w:t>
      </w:r>
      <w:r>
        <w:t>, either in person (over the counter) or from an Automated Teller Machine (ATM). Each year the Financial Conduct Authority (FCA) collects</w:t>
      </w:r>
      <w:r w:rsidRPr="00747FE6">
        <w:t xml:space="preserve"> </w:t>
      </w:r>
      <w:r>
        <w:t xml:space="preserve">quarterly </w:t>
      </w:r>
      <w:r w:rsidRPr="00747FE6">
        <w:t xml:space="preserve">data on access to cash. </w:t>
      </w:r>
      <w:r>
        <w:t>Th</w:t>
      </w:r>
      <w:r w:rsidR="00542E2D">
        <w:t xml:space="preserve">ose </w:t>
      </w:r>
      <w:r>
        <w:t>data c</w:t>
      </w:r>
      <w:r w:rsidRPr="00747FE6">
        <w:t>apture the locations of cash access points and other relevant information</w:t>
      </w:r>
      <w:r w:rsidR="00542E2D">
        <w:t>,</w:t>
      </w:r>
      <w:r w:rsidRPr="00747FE6">
        <w:t xml:space="preserve"> such as temporary closures, opening hours, and accessibility. </w:t>
      </w:r>
      <w:r>
        <w:t>Moreover, it</w:t>
      </w:r>
      <w:r w:rsidRPr="00747FE6">
        <w:t xml:space="preserve"> covers brick-and-mortar, mobile bank, and building society branches, ATMs, and the Post Office network. </w:t>
      </w:r>
      <w:r>
        <w:t>At the time of writing, the most recently available data for Northern Ireland</w:t>
      </w:r>
      <w:r w:rsidR="00542E2D">
        <w:t xml:space="preserve"> in this sector</w:t>
      </w:r>
      <w:r>
        <w:t xml:space="preserve"> </w:t>
      </w:r>
      <w:r w:rsidR="003259D8">
        <w:t>are</w:t>
      </w:r>
      <w:r>
        <w:t xml:space="preserve"> for the second quarter (Q2) of 2023.</w:t>
      </w:r>
      <w:r w:rsidR="00F14BB1">
        <w:rPr>
          <w:rStyle w:val="FootnoteReference"/>
        </w:rPr>
        <w:footnoteReference w:id="10"/>
      </w:r>
    </w:p>
    <w:p w14:paraId="0EA3E523" w14:textId="11FD97BD" w:rsidR="0068640B" w:rsidRDefault="0068640B" w:rsidP="0068640B">
      <w:pPr>
        <w:sectPr w:rsidR="0068640B" w:rsidSect="002D41DC">
          <w:pgSz w:w="11906" w:h="16838" w:code="9"/>
          <w:pgMar w:top="1418" w:right="1418" w:bottom="1418" w:left="1418" w:header="567" w:footer="567" w:gutter="0"/>
          <w:cols w:space="708"/>
          <w:docGrid w:linePitch="360"/>
        </w:sectPr>
      </w:pPr>
      <w:r>
        <w:t xml:space="preserve">Figure </w:t>
      </w:r>
      <w:r w:rsidR="004D387B">
        <w:t>3</w:t>
      </w:r>
      <w:r>
        <w:t xml:space="preserve"> below shows the number of cash access points in Northern Ireland, Scotland and </w:t>
      </w:r>
      <w:r w:rsidRPr="000C5BEC">
        <w:t>Wales</w:t>
      </w:r>
      <w:r>
        <w:t xml:space="preserve"> using the Q2 2023 FCA data. </w:t>
      </w:r>
      <w:r w:rsidR="00B37D53">
        <w:t xml:space="preserve"> </w:t>
      </w:r>
      <w:r w:rsidR="005630CE">
        <w:t xml:space="preserve">It shows that the number </w:t>
      </w:r>
      <w:r w:rsidR="00B37D53">
        <w:t xml:space="preserve">of cash access points across all types </w:t>
      </w:r>
      <w:r w:rsidR="00F14BB1">
        <w:t xml:space="preserve">in Northern Ireland (16,000) </w:t>
      </w:r>
      <w:r w:rsidR="00B37D53">
        <w:t>is below Scotland</w:t>
      </w:r>
      <w:r w:rsidR="00F14BB1">
        <w:t xml:space="preserve"> (50,000)</w:t>
      </w:r>
      <w:r w:rsidR="00B37D53">
        <w:t xml:space="preserve"> and Wales</w:t>
      </w:r>
      <w:r w:rsidR="00F14BB1">
        <w:t xml:space="preserve"> </w:t>
      </w:r>
      <w:r w:rsidR="00F31F20">
        <w:t>(</w:t>
      </w:r>
      <w:r w:rsidR="00F14BB1">
        <w:t>27,000)</w:t>
      </w:r>
      <w:r w:rsidR="00B37D53">
        <w:t xml:space="preserve">. This is perhaps </w:t>
      </w:r>
      <w:r w:rsidR="00F14BB1">
        <w:t>u</w:t>
      </w:r>
      <w:r w:rsidR="00B37D53">
        <w:t xml:space="preserve">nsurprising given the regions’ </w:t>
      </w:r>
      <w:r w:rsidR="00F14BB1">
        <w:t xml:space="preserve">relative </w:t>
      </w:r>
      <w:r w:rsidR="00B37D53">
        <w:t>population</w:t>
      </w:r>
      <w:r w:rsidR="00F14BB1">
        <w:t xml:space="preserve"> sizes</w:t>
      </w:r>
      <w:r w:rsidR="00B37D53">
        <w:t xml:space="preserve">. However, the number of mobile/outreach Post Office branches </w:t>
      </w:r>
      <w:r w:rsidR="00F14BB1">
        <w:t xml:space="preserve">in Northern Ireland (29) </w:t>
      </w:r>
      <w:r w:rsidR="00B37D53">
        <w:t>appears relatively small</w:t>
      </w:r>
      <w:r w:rsidR="002324B9">
        <w:t xml:space="preserve"> when</w:t>
      </w:r>
      <w:r w:rsidR="00B37D53">
        <w:t xml:space="preserve"> compared to those in Scotland</w:t>
      </w:r>
      <w:r w:rsidR="00F14BB1">
        <w:t xml:space="preserve"> (259)</w:t>
      </w:r>
      <w:r w:rsidR="00B37D53">
        <w:t xml:space="preserve"> and Wales</w:t>
      </w:r>
      <w:r w:rsidR="00F14BB1">
        <w:t xml:space="preserve"> (261)</w:t>
      </w:r>
      <w:r w:rsidR="00B37D53">
        <w:t xml:space="preserve">. Similarly, the number for mobile bank branches in Northern Ireland </w:t>
      </w:r>
      <w:r w:rsidR="00F14BB1" w:rsidRPr="00F14BB1">
        <w:t xml:space="preserve">(13) </w:t>
      </w:r>
      <w:r w:rsidR="00B37D53">
        <w:t>is considerably lower than th</w:t>
      </w:r>
      <w:r w:rsidR="003259D8">
        <w:t>ose</w:t>
      </w:r>
      <w:r w:rsidR="00B37D53">
        <w:t xml:space="preserve"> in Scotland (</w:t>
      </w:r>
      <w:r w:rsidR="00F14BB1">
        <w:t>416) and Wales (97).</w:t>
      </w:r>
    </w:p>
    <w:p w14:paraId="409A339A" w14:textId="7933AD32" w:rsidR="0068640B" w:rsidRDefault="0068640B" w:rsidP="0068640B">
      <w:pPr>
        <w:rPr>
          <w:b/>
          <w:sz w:val="18"/>
          <w:szCs w:val="18"/>
        </w:rPr>
        <w:sectPr w:rsidR="0068640B" w:rsidSect="00A57CC7">
          <w:pgSz w:w="16838" w:h="11906" w:orient="landscape" w:code="9"/>
          <w:pgMar w:top="1418" w:right="1418" w:bottom="1418" w:left="1418" w:header="567" w:footer="567" w:gutter="0"/>
          <w:cols w:space="708"/>
          <w:docGrid w:linePitch="360"/>
        </w:sectPr>
      </w:pPr>
      <w:r w:rsidRPr="007729A1">
        <w:rPr>
          <w:b/>
          <w:sz w:val="18"/>
          <w:szCs w:val="18"/>
        </w:rPr>
        <w:lastRenderedPageBreak/>
        <w:t xml:space="preserve">Figure </w:t>
      </w:r>
      <w:r w:rsidR="004D387B">
        <w:rPr>
          <w:b/>
          <w:sz w:val="18"/>
          <w:szCs w:val="18"/>
        </w:rPr>
        <w:t>3</w:t>
      </w:r>
      <w:r w:rsidRPr="007729A1">
        <w:rPr>
          <w:b/>
          <w:sz w:val="18"/>
          <w:szCs w:val="18"/>
        </w:rPr>
        <w:t>: Number of cash access points by type and region</w:t>
      </w:r>
      <w:r w:rsidRPr="006F1412">
        <w:rPr>
          <w:rStyle w:val="FootnoteReference"/>
          <w:sz w:val="18"/>
          <w:szCs w:val="18"/>
        </w:rPr>
        <w:footnoteReference w:id="11"/>
      </w:r>
      <w:r>
        <w:rPr>
          <w:noProof/>
        </w:rPr>
        <w:drawing>
          <wp:inline distT="0" distB="0" distL="0" distR="0" wp14:anchorId="2459CFF7" wp14:editId="248BFE84">
            <wp:extent cx="7667625" cy="45615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7674072" cy="4565420"/>
                    </a:xfrm>
                    <a:prstGeom prst="rect">
                      <a:avLst/>
                    </a:prstGeom>
                  </pic:spPr>
                </pic:pic>
              </a:graphicData>
            </a:graphic>
          </wp:inline>
        </w:drawing>
      </w:r>
      <w:r w:rsidRPr="00A57CC7">
        <w:rPr>
          <w:b/>
          <w:sz w:val="20"/>
          <w:szCs w:val="20"/>
        </w:rPr>
        <w:t xml:space="preserve"> </w:t>
      </w:r>
      <w:r w:rsidRPr="00A57CC7">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sidRPr="00A57CC7">
        <w:rPr>
          <w:b/>
          <w:sz w:val="18"/>
          <w:szCs w:val="18"/>
        </w:rPr>
        <w:t xml:space="preserve">Source: FCA </w:t>
      </w:r>
      <w:r w:rsidR="003259D8">
        <w:rPr>
          <w:b/>
          <w:sz w:val="18"/>
          <w:szCs w:val="18"/>
        </w:rPr>
        <w:t>(</w:t>
      </w:r>
      <w:r w:rsidRPr="00A57CC7">
        <w:rPr>
          <w:b/>
          <w:sz w:val="18"/>
          <w:szCs w:val="18"/>
        </w:rPr>
        <w:t>2024</w:t>
      </w:r>
      <w:r w:rsidR="003259D8">
        <w:rPr>
          <w:b/>
          <w:sz w:val="18"/>
          <w:szCs w:val="18"/>
        </w:rPr>
        <w:t>)</w:t>
      </w:r>
    </w:p>
    <w:p w14:paraId="76BA6426" w14:textId="7BA91BC9" w:rsidR="0068640B" w:rsidRDefault="00944C50" w:rsidP="004D387B">
      <w:pPr>
        <w:pStyle w:val="Heading3"/>
      </w:pPr>
      <w:r>
        <w:lastRenderedPageBreak/>
        <w:t>Proximity to</w:t>
      </w:r>
      <w:r w:rsidR="0068640B">
        <w:t xml:space="preserve"> </w:t>
      </w:r>
      <w:r>
        <w:t>“</w:t>
      </w:r>
      <w:r w:rsidR="0068640B">
        <w:t>Free to Use</w:t>
      </w:r>
      <w:r>
        <w:t>”</w:t>
      </w:r>
      <w:r w:rsidR="0068640B">
        <w:t xml:space="preserve"> Cash Access points</w:t>
      </w:r>
    </w:p>
    <w:p w14:paraId="0F4A1AD8" w14:textId="48B2F1FF" w:rsidR="00C72A75" w:rsidRDefault="0068640B" w:rsidP="0068640B">
      <w:r w:rsidRPr="00A66430">
        <w:t xml:space="preserve">Findings from the 2023 Q2 FCA survey </w:t>
      </w:r>
      <w:r w:rsidR="00E30A8D">
        <w:t xml:space="preserve">also </w:t>
      </w:r>
      <w:r w:rsidRPr="00A66430">
        <w:t xml:space="preserve">show that </w:t>
      </w:r>
      <w:r w:rsidRPr="00A66430">
        <w:rPr>
          <w:lang w:val="en-GB"/>
        </w:rPr>
        <w:t>for access to larger banks and building societies providing Personal Current Accounts (PCA) and Post Offices, 79.6% of the overall population of Northern Ireland were within 1 mile of a free-to-use</w:t>
      </w:r>
      <w:r w:rsidR="004D387B">
        <w:rPr>
          <w:rStyle w:val="FootnoteReference"/>
          <w:lang w:val="en-GB"/>
        </w:rPr>
        <w:footnoteReference w:id="12"/>
      </w:r>
      <w:r w:rsidRPr="00A66430">
        <w:rPr>
          <w:lang w:val="en-GB"/>
        </w:rPr>
        <w:t xml:space="preserve"> cash access point</w:t>
      </w:r>
      <w:r w:rsidR="003B4B7F">
        <w:rPr>
          <w:lang w:val="en-GB"/>
        </w:rPr>
        <w:t>s</w:t>
      </w:r>
      <w:r w:rsidRPr="00A66430">
        <w:rPr>
          <w:lang w:val="en-GB"/>
        </w:rPr>
        <w:t xml:space="preserve"> offering deposits.</w:t>
      </w:r>
      <w:r w:rsidRPr="00A66430">
        <w:rPr>
          <w:vertAlign w:val="superscript"/>
          <w:lang w:val="en-GB"/>
        </w:rPr>
        <w:footnoteReference w:id="13"/>
      </w:r>
      <w:r w:rsidRPr="00A66430">
        <w:rPr>
          <w:lang w:val="en-GB"/>
        </w:rPr>
        <w:t xml:space="preserve"> This is considerably lower than the figure for the United Kingdom overall population (92.4%). With regard to the rural population, in Northern Ireland, 51.5% of people were within 1 mile of a free-to-use cash access point. Again</w:t>
      </w:r>
      <w:r>
        <w:rPr>
          <w:lang w:val="en-GB"/>
        </w:rPr>
        <w:t>,</w:t>
      </w:r>
      <w:r w:rsidRPr="00A66430">
        <w:rPr>
          <w:lang w:val="en-GB"/>
        </w:rPr>
        <w:t xml:space="preserve"> this is considerably lower than figure for the United Kingdom rural population of 70.7%. For the urban population, the Northern Ireland figure (96.4%) is much closer to the equivalent United Kingdom percentage (9</w:t>
      </w:r>
      <w:r>
        <w:rPr>
          <w:lang w:val="en-GB"/>
        </w:rPr>
        <w:t>7</w:t>
      </w:r>
      <w:r w:rsidRPr="00A66430">
        <w:rPr>
          <w:lang w:val="en-GB"/>
        </w:rPr>
        <w:t>.4%).</w:t>
      </w:r>
      <w:r w:rsidR="00E30A8D" w:rsidRPr="00E30A8D">
        <w:t xml:space="preserve"> </w:t>
      </w:r>
    </w:p>
    <w:p w14:paraId="738DEDC9" w14:textId="1B442B86" w:rsidR="004D387B" w:rsidRDefault="00E30A8D" w:rsidP="0068640B">
      <w:r>
        <w:t>T</w:t>
      </w:r>
      <w:r w:rsidRPr="00E30A8D">
        <w:t>he 2023 Q2 FCA survey</w:t>
      </w:r>
      <w:r>
        <w:t xml:space="preserve"> also includes data at Northern Ireland District Council level.</w:t>
      </w:r>
      <w:r w:rsidR="00C72A75">
        <w:t xml:space="preserve"> Figure </w:t>
      </w:r>
      <w:r w:rsidR="004D387B">
        <w:t>4</w:t>
      </w:r>
      <w:r w:rsidR="001A5CB2">
        <w:t xml:space="preserve"> below presents the percentage of people living in a rural </w:t>
      </w:r>
      <w:r w:rsidR="004D387B">
        <w:t xml:space="preserve">and urban </w:t>
      </w:r>
      <w:r w:rsidR="001A5CB2">
        <w:t>area</w:t>
      </w:r>
      <w:r w:rsidR="004D387B">
        <w:t>s</w:t>
      </w:r>
      <w:r w:rsidR="001A5CB2">
        <w:t xml:space="preserve"> </w:t>
      </w:r>
      <w:r w:rsidR="006437FC">
        <w:t xml:space="preserve">in each District Council area, </w:t>
      </w:r>
      <w:r w:rsidR="001A5CB2">
        <w:t xml:space="preserve">that </w:t>
      </w:r>
      <w:r w:rsidR="006437FC">
        <w:t>live,</w:t>
      </w:r>
      <w:r w:rsidR="001A5CB2">
        <w:t xml:space="preserve"> within </w:t>
      </w:r>
      <w:r w:rsidR="006437FC">
        <w:t xml:space="preserve">a </w:t>
      </w:r>
      <w:r w:rsidR="00A15AA9">
        <w:t xml:space="preserve">one </w:t>
      </w:r>
      <w:r w:rsidR="001A5CB2">
        <w:t xml:space="preserve">and </w:t>
      </w:r>
      <w:r w:rsidR="00A15AA9">
        <w:t xml:space="preserve">three </w:t>
      </w:r>
      <w:r w:rsidR="001A5CB2">
        <w:t xml:space="preserve">mile </w:t>
      </w:r>
      <w:r w:rsidR="006437FC">
        <w:t xml:space="preserve">proximity, to </w:t>
      </w:r>
      <w:r w:rsidR="001A5CB2">
        <w:t>a “free to use” cash access point.</w:t>
      </w:r>
      <w:r w:rsidR="00C72A75">
        <w:t xml:space="preserve"> </w:t>
      </w:r>
    </w:p>
    <w:p w14:paraId="2901DF1E" w14:textId="387D90E8" w:rsidR="004D387B" w:rsidRDefault="006437FC" w:rsidP="0068640B">
      <w:r>
        <w:t xml:space="preserve">As Figure </w:t>
      </w:r>
      <w:r w:rsidR="004D387B">
        <w:t>4</w:t>
      </w:r>
      <w:r>
        <w:t xml:space="preserve"> shows, just over one third (34.24%) of people living in rural areas in the Antrim &amp; Newtownabbey council area, live within </w:t>
      </w:r>
      <w:r w:rsidR="00A15AA9">
        <w:t>one</w:t>
      </w:r>
      <w:r>
        <w:t xml:space="preserve"> mile of a </w:t>
      </w:r>
      <w:r w:rsidRPr="006437FC">
        <w:t xml:space="preserve">“free to use” cash access point </w:t>
      </w:r>
      <w:r>
        <w:t xml:space="preserve">. In other words, two thirds of rural dwellers in </w:t>
      </w:r>
      <w:r w:rsidR="00854F84">
        <w:t>Antrim and Newtownabbey live more than one mile from free access</w:t>
      </w:r>
      <w:r w:rsidR="004D387B">
        <w:t xml:space="preserve"> to cash</w:t>
      </w:r>
      <w:r w:rsidR="00854F84">
        <w:t xml:space="preserve">. </w:t>
      </w:r>
    </w:p>
    <w:p w14:paraId="091075E1" w14:textId="42709817" w:rsidR="00A15AA9" w:rsidRDefault="00854F84" w:rsidP="0068640B">
      <w:r>
        <w:t xml:space="preserve">In all District Council areas, with the exception of Belfast City and Ards &amp; North Down, roughly half of the people living in a rural location are more than </w:t>
      </w:r>
      <w:r w:rsidR="00A15AA9">
        <w:t>one</w:t>
      </w:r>
      <w:r>
        <w:t xml:space="preserve"> mile away from </w:t>
      </w:r>
      <w:r w:rsidR="004D387B">
        <w:t xml:space="preserve">free </w:t>
      </w:r>
      <w:r>
        <w:t xml:space="preserve">access to cash services. </w:t>
      </w:r>
    </w:p>
    <w:p w14:paraId="48C8D54E" w14:textId="295D6DFA" w:rsidR="00E30A8D" w:rsidRDefault="00854F84" w:rsidP="0068640B">
      <w:pPr>
        <w:sectPr w:rsidR="00E30A8D" w:rsidSect="0068640B">
          <w:pgSz w:w="11906" w:h="16838" w:code="9"/>
          <w:pgMar w:top="1418" w:right="1418" w:bottom="1418" w:left="1418" w:header="567" w:footer="567" w:gutter="0"/>
          <w:cols w:space="708"/>
          <w:docGrid w:linePitch="360"/>
        </w:sectPr>
      </w:pPr>
      <w:r>
        <w:t xml:space="preserve">With regard to </w:t>
      </w:r>
      <w:r w:rsidR="00A15AA9">
        <w:t xml:space="preserve">a </w:t>
      </w:r>
      <w:r>
        <w:t xml:space="preserve">proximity of </w:t>
      </w:r>
      <w:r w:rsidR="00A15AA9">
        <w:t>three</w:t>
      </w:r>
      <w:r>
        <w:t xml:space="preserve"> miles, just over 5% of rural dwellers in </w:t>
      </w:r>
      <w:r w:rsidRPr="00854F84">
        <w:t xml:space="preserve">Antrim </w:t>
      </w:r>
      <w:r w:rsidR="00A26F3D">
        <w:t xml:space="preserve">&amp; </w:t>
      </w:r>
      <w:r w:rsidRPr="00854F84">
        <w:t>Newtownabbey</w:t>
      </w:r>
      <w:r>
        <w:t>;  Mid &amp; East Antrim</w:t>
      </w:r>
      <w:r w:rsidR="00A26F3D">
        <w:t>;</w:t>
      </w:r>
      <w:r w:rsidR="00A15AA9">
        <w:t xml:space="preserve"> and Fermanagh &amp; Omagh District Council areas live more than three miles from a free cash access point. Whilst this figure appears small, the inconvenience </w:t>
      </w:r>
      <w:r w:rsidR="003259D8">
        <w:t>for</w:t>
      </w:r>
      <w:r w:rsidR="00A15AA9">
        <w:t xml:space="preserve"> these individuals </w:t>
      </w:r>
      <w:r w:rsidR="00A26F3D">
        <w:t>may</w:t>
      </w:r>
      <w:r w:rsidR="00A15AA9">
        <w:t xml:space="preserve"> be considerable.</w:t>
      </w:r>
    </w:p>
    <w:p w14:paraId="490EC3F4" w14:textId="40157CF8" w:rsidR="00A15AA9" w:rsidRPr="00A15AA9" w:rsidRDefault="00A15AA9" w:rsidP="00A15AA9">
      <w:pPr>
        <w:tabs>
          <w:tab w:val="left" w:pos="1755"/>
        </w:tabs>
        <w:rPr>
          <w:b/>
          <w:sz w:val="20"/>
          <w:szCs w:val="20"/>
        </w:rPr>
      </w:pPr>
      <w:r>
        <w:lastRenderedPageBreak/>
        <w:tab/>
      </w:r>
      <w:r w:rsidRPr="00A15AA9">
        <w:rPr>
          <w:b/>
          <w:sz w:val="20"/>
          <w:szCs w:val="20"/>
        </w:rPr>
        <w:t xml:space="preserve">Figure </w:t>
      </w:r>
      <w:r w:rsidR="004D387B">
        <w:rPr>
          <w:b/>
          <w:sz w:val="20"/>
          <w:szCs w:val="20"/>
        </w:rPr>
        <w:t>4</w:t>
      </w:r>
      <w:r w:rsidRPr="00A15AA9">
        <w:rPr>
          <w:b/>
          <w:sz w:val="20"/>
          <w:szCs w:val="20"/>
        </w:rPr>
        <w:t xml:space="preserve">: Proximity to Free to Use Cash Access Points. Rural and Urban Populations </w:t>
      </w:r>
    </w:p>
    <w:p w14:paraId="61BD2A2D" w14:textId="476E4306" w:rsidR="00A15AA9" w:rsidRDefault="005A5D3A" w:rsidP="00A15AA9">
      <w:pPr>
        <w:tabs>
          <w:tab w:val="left" w:pos="1755"/>
        </w:tabs>
      </w:pPr>
      <w:r>
        <w:rPr>
          <w:noProof/>
        </w:rPr>
        <w:drawing>
          <wp:inline distT="0" distB="0" distL="0" distR="0" wp14:anchorId="3A9808BC" wp14:editId="7BB77957">
            <wp:extent cx="7852866" cy="5011309"/>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7861642" cy="5016910"/>
                    </a:xfrm>
                    <a:prstGeom prst="rect">
                      <a:avLst/>
                    </a:prstGeom>
                  </pic:spPr>
                </pic:pic>
              </a:graphicData>
            </a:graphic>
          </wp:inline>
        </w:drawing>
      </w:r>
    </w:p>
    <w:p w14:paraId="19B1026B" w14:textId="1F1FE533" w:rsidR="00A15AA9" w:rsidRPr="00A15AA9" w:rsidRDefault="00A15AA9" w:rsidP="00A15AA9">
      <w:pPr>
        <w:tabs>
          <w:tab w:val="left" w:pos="1755"/>
        </w:tabs>
        <w:rPr>
          <w:b/>
          <w:sz w:val="20"/>
          <w:szCs w:val="20"/>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sidRPr="00A15AA9">
        <w:rPr>
          <w:b/>
          <w:sz w:val="20"/>
          <w:szCs w:val="20"/>
        </w:rPr>
        <w:t>Source: LPS (2024)</w:t>
      </w:r>
    </w:p>
    <w:p w14:paraId="66736BCD" w14:textId="4F39DAE1" w:rsidR="0068640B" w:rsidRPr="00A15AA9" w:rsidRDefault="0068640B" w:rsidP="00A15AA9">
      <w:pPr>
        <w:tabs>
          <w:tab w:val="left" w:pos="1755"/>
        </w:tabs>
        <w:sectPr w:rsidR="0068640B" w:rsidRPr="00A15AA9" w:rsidSect="00E30A8D">
          <w:pgSz w:w="16838" w:h="11906" w:orient="landscape" w:code="9"/>
          <w:pgMar w:top="1418" w:right="1418" w:bottom="1418" w:left="1418" w:header="567" w:footer="567" w:gutter="0"/>
          <w:cols w:space="708"/>
          <w:docGrid w:linePitch="360"/>
        </w:sectPr>
      </w:pPr>
    </w:p>
    <w:p w14:paraId="3DB0D54B" w14:textId="51FCF735" w:rsidR="00380A43" w:rsidRDefault="00207D15" w:rsidP="004D387B">
      <w:pPr>
        <w:pStyle w:val="Heading2"/>
      </w:pPr>
      <w:r>
        <w:lastRenderedPageBreak/>
        <w:t xml:space="preserve">The </w:t>
      </w:r>
      <w:r w:rsidR="00380A43">
        <w:t>Declin</w:t>
      </w:r>
      <w:r>
        <w:t xml:space="preserve">e of </w:t>
      </w:r>
      <w:r w:rsidR="00380A43">
        <w:t>Cash</w:t>
      </w:r>
      <w:r w:rsidR="007B6735">
        <w:t xml:space="preserve"> and Bank</w:t>
      </w:r>
      <w:r w:rsidR="006A448E">
        <w:t>ing</w:t>
      </w:r>
      <w:r w:rsidR="007B6735">
        <w:t xml:space="preserve"> Services </w:t>
      </w:r>
    </w:p>
    <w:p w14:paraId="15966D94" w14:textId="33E37C02" w:rsidR="00380A43" w:rsidRDefault="00380A43" w:rsidP="00380A43">
      <w:pPr>
        <w:rPr>
          <w:lang w:val="en-GB" w:eastAsia="en-GB"/>
        </w:rPr>
      </w:pPr>
      <w:r>
        <w:rPr>
          <w:lang w:val="en-GB" w:eastAsia="en-GB"/>
        </w:rPr>
        <w:t>This section</w:t>
      </w:r>
      <w:r w:rsidR="00EF75BB">
        <w:rPr>
          <w:lang w:val="en-GB" w:eastAsia="en-GB"/>
        </w:rPr>
        <w:t xml:space="preserve"> </w:t>
      </w:r>
      <w:r w:rsidR="00EF75BB" w:rsidRPr="00EF75BB">
        <w:rPr>
          <w:lang w:val="en-GB" w:eastAsia="en-GB"/>
        </w:rPr>
        <w:t xml:space="preserve">outlines the </w:t>
      </w:r>
      <w:r w:rsidR="00EF75BB" w:rsidRPr="00EF75BB">
        <w:rPr>
          <w:lang w:eastAsia="en-GB"/>
        </w:rPr>
        <w:t xml:space="preserve">decline of cash and banking services over the past decade and </w:t>
      </w:r>
      <w:r w:rsidR="00EF75BB">
        <w:rPr>
          <w:lang w:eastAsia="en-GB"/>
        </w:rPr>
        <w:t>presents</w:t>
      </w:r>
      <w:r w:rsidR="00EF75BB" w:rsidRPr="00EF75BB">
        <w:rPr>
          <w:lang w:eastAsia="en-GB"/>
        </w:rPr>
        <w:t xml:space="preserve"> </w:t>
      </w:r>
      <w:r w:rsidR="00EF75BB" w:rsidRPr="00EF75BB">
        <w:rPr>
          <w:lang w:val="en-GB" w:eastAsia="en-GB"/>
        </w:rPr>
        <w:t>analysis of bank and post office branch closures across Northern Ireland from 2020 to 2024</w:t>
      </w:r>
      <w:r w:rsidR="00EF75BB">
        <w:rPr>
          <w:lang w:val="en-GB" w:eastAsia="en-GB"/>
        </w:rPr>
        <w:t>.</w:t>
      </w:r>
    </w:p>
    <w:p w14:paraId="04C90EEC" w14:textId="7E8623DD" w:rsidR="00380A43" w:rsidRPr="00380A43" w:rsidRDefault="007B6735" w:rsidP="00380A43">
      <w:pPr>
        <w:pStyle w:val="Heading3"/>
      </w:pPr>
      <w:r>
        <w:t>T</w:t>
      </w:r>
      <w:r w:rsidR="00380A43">
        <w:t xml:space="preserve">he </w:t>
      </w:r>
      <w:r>
        <w:t>D</w:t>
      </w:r>
      <w:r w:rsidR="00380A43">
        <w:t xml:space="preserve">ecline of </w:t>
      </w:r>
      <w:r w:rsidR="00207D15">
        <w:t>C</w:t>
      </w:r>
      <w:r w:rsidR="00380A43">
        <w:t>ash</w:t>
      </w:r>
    </w:p>
    <w:p w14:paraId="38B1AA5C" w14:textId="4F12668E" w:rsidR="00D314CE" w:rsidRDefault="00380A43" w:rsidP="00D314CE">
      <w:pPr>
        <w:rPr>
          <w:lang w:eastAsia="en-GB"/>
        </w:rPr>
      </w:pPr>
      <w:r>
        <w:rPr>
          <w:lang w:val="en-GB" w:eastAsia="en-GB"/>
        </w:rPr>
        <w:t xml:space="preserve">In December 2021, the Bank of England reported that transactional cash use </w:t>
      </w:r>
      <w:r w:rsidRPr="002D136A">
        <w:rPr>
          <w:lang w:eastAsia="en-GB"/>
        </w:rPr>
        <w:t>has fallen from over 50% of payments in 2010</w:t>
      </w:r>
      <w:r w:rsidR="000B3813">
        <w:rPr>
          <w:lang w:eastAsia="en-GB"/>
        </w:rPr>
        <w:t>,</w:t>
      </w:r>
      <w:r w:rsidRPr="002D136A">
        <w:rPr>
          <w:lang w:eastAsia="en-GB"/>
        </w:rPr>
        <w:t xml:space="preserve"> to only 17% of all payments in 2020</w:t>
      </w:r>
      <w:r>
        <w:rPr>
          <w:lang w:eastAsia="en-GB"/>
        </w:rPr>
        <w:t>.</w:t>
      </w:r>
      <w:r>
        <w:rPr>
          <w:rStyle w:val="FootnoteReference"/>
          <w:lang w:eastAsia="en-GB"/>
        </w:rPr>
        <w:footnoteReference w:id="14"/>
      </w:r>
      <w:r>
        <w:rPr>
          <w:lang w:eastAsia="en-GB"/>
        </w:rPr>
        <w:t xml:space="preserve"> </w:t>
      </w:r>
      <w:r>
        <w:rPr>
          <w:lang w:val="en-GB" w:eastAsia="en-GB"/>
        </w:rPr>
        <w:t xml:space="preserve"> In February 2024, the Financial Times stated that </w:t>
      </w:r>
      <w:r w:rsidRPr="007D3981">
        <w:rPr>
          <w:lang w:val="en-GB" w:eastAsia="en-GB"/>
        </w:rPr>
        <w:t>b</w:t>
      </w:r>
      <w:r w:rsidRPr="007D3981">
        <w:rPr>
          <w:iCs/>
          <w:lang w:eastAsia="en-GB"/>
        </w:rPr>
        <w:t xml:space="preserve">y 2032, it is projected that cash use will halve, with </w:t>
      </w:r>
      <w:r w:rsidR="00B44BA7">
        <w:rPr>
          <w:iCs/>
          <w:lang w:eastAsia="en-GB"/>
        </w:rPr>
        <w:t xml:space="preserve">only </w:t>
      </w:r>
      <w:r>
        <w:rPr>
          <w:iCs/>
          <w:lang w:eastAsia="en-GB"/>
        </w:rPr>
        <w:t>7%</w:t>
      </w:r>
      <w:r w:rsidRPr="007D3981">
        <w:rPr>
          <w:iCs/>
          <w:lang w:eastAsia="en-GB"/>
        </w:rPr>
        <w:t xml:space="preserve"> of payments expected to be made using cash</w:t>
      </w:r>
      <w:r w:rsidRPr="007D3981">
        <w:rPr>
          <w:i/>
          <w:iCs/>
          <w:lang w:eastAsia="en-GB"/>
        </w:rPr>
        <w:t>.</w:t>
      </w:r>
      <w:r>
        <w:rPr>
          <w:rStyle w:val="FootnoteReference"/>
          <w:lang w:val="en-GB" w:eastAsia="en-GB"/>
        </w:rPr>
        <w:footnoteReference w:id="15"/>
      </w:r>
      <w:r>
        <w:rPr>
          <w:lang w:val="en-GB" w:eastAsia="en-GB"/>
        </w:rPr>
        <w:t xml:space="preserve"> </w:t>
      </w:r>
      <w:r w:rsidR="00D314CE" w:rsidRPr="00D314CE">
        <w:rPr>
          <w:lang w:eastAsia="en-GB"/>
        </w:rPr>
        <w:t xml:space="preserve">Figure </w:t>
      </w:r>
      <w:r w:rsidR="008C17BF">
        <w:rPr>
          <w:lang w:eastAsia="en-GB"/>
        </w:rPr>
        <w:t>5</w:t>
      </w:r>
      <w:r w:rsidR="00D314CE" w:rsidRPr="00D314CE">
        <w:rPr>
          <w:lang w:eastAsia="en-GB"/>
        </w:rPr>
        <w:t xml:space="preserve"> below shows the decline in cash as a payment from 2015 to 2023. As </w:t>
      </w:r>
      <w:r w:rsidR="008C17BF">
        <w:rPr>
          <w:lang w:eastAsia="en-GB"/>
        </w:rPr>
        <w:t>F</w:t>
      </w:r>
      <w:r w:rsidR="00D314CE" w:rsidRPr="00D314CE">
        <w:rPr>
          <w:lang w:eastAsia="en-GB"/>
        </w:rPr>
        <w:t xml:space="preserve">igure </w:t>
      </w:r>
      <w:r w:rsidR="008C17BF">
        <w:rPr>
          <w:lang w:eastAsia="en-GB"/>
        </w:rPr>
        <w:t>5</w:t>
      </w:r>
      <w:r w:rsidR="00D314CE" w:rsidRPr="00D314CE">
        <w:rPr>
          <w:lang w:eastAsia="en-GB"/>
        </w:rPr>
        <w:t xml:space="preserve"> shows, </w:t>
      </w:r>
      <w:r w:rsidR="00723646">
        <w:rPr>
          <w:lang w:eastAsia="en-GB"/>
        </w:rPr>
        <w:t xml:space="preserve">the value of </w:t>
      </w:r>
      <w:r w:rsidR="00D314CE" w:rsidRPr="00D314CE">
        <w:rPr>
          <w:lang w:eastAsia="en-GB"/>
        </w:rPr>
        <w:t>cash payments ha</w:t>
      </w:r>
      <w:r w:rsidR="00723646">
        <w:rPr>
          <w:lang w:eastAsia="en-GB"/>
        </w:rPr>
        <w:t>s</w:t>
      </w:r>
      <w:r w:rsidR="00D314CE" w:rsidRPr="00D314CE">
        <w:rPr>
          <w:lang w:eastAsia="en-GB"/>
        </w:rPr>
        <w:t xml:space="preserve"> steadily declined from £17.2 billion in 2015 to only £6 million in 2023.</w:t>
      </w:r>
      <w:r w:rsidR="00D314CE">
        <w:rPr>
          <w:lang w:eastAsia="en-GB"/>
        </w:rPr>
        <w:t xml:space="preserve"> In percentage terms, cash payments in 2023 accounted for only 12% of all payments</w:t>
      </w:r>
      <w:r w:rsidR="000B3813">
        <w:rPr>
          <w:lang w:eastAsia="en-GB"/>
        </w:rPr>
        <w:t>:</w:t>
      </w:r>
    </w:p>
    <w:p w14:paraId="1D340935" w14:textId="00EEA43F" w:rsidR="00D314CE" w:rsidRPr="00365E06" w:rsidRDefault="00365E06" w:rsidP="00D314CE">
      <w:pPr>
        <w:rPr>
          <w:b/>
          <w:sz w:val="20"/>
          <w:szCs w:val="20"/>
          <w:lang w:eastAsia="en-GB"/>
        </w:rPr>
      </w:pPr>
      <w:r w:rsidRPr="00723646">
        <w:rPr>
          <w:b/>
          <w:sz w:val="18"/>
          <w:szCs w:val="18"/>
          <w:lang w:eastAsia="en-GB"/>
        </w:rPr>
        <w:t xml:space="preserve">Figure </w:t>
      </w:r>
      <w:r w:rsidR="008C17BF" w:rsidRPr="00723646">
        <w:rPr>
          <w:b/>
          <w:sz w:val="18"/>
          <w:szCs w:val="18"/>
          <w:lang w:eastAsia="en-GB"/>
        </w:rPr>
        <w:t>5</w:t>
      </w:r>
      <w:r w:rsidRPr="00723646">
        <w:rPr>
          <w:b/>
          <w:sz w:val="18"/>
          <w:szCs w:val="18"/>
          <w:lang w:eastAsia="en-GB"/>
        </w:rPr>
        <w:t>: Payments by cash and other methods, United Kingdom 2015-2023</w:t>
      </w:r>
      <w:r>
        <w:rPr>
          <w:rStyle w:val="FootnoteReference"/>
          <w:b/>
          <w:sz w:val="20"/>
          <w:szCs w:val="20"/>
          <w:lang w:eastAsia="en-GB"/>
        </w:rPr>
        <w:footnoteReference w:id="16"/>
      </w:r>
    </w:p>
    <w:p w14:paraId="0F29852A" w14:textId="2556C44C" w:rsidR="00D314CE" w:rsidRDefault="00D314CE" w:rsidP="00D314CE">
      <w:pPr>
        <w:rPr>
          <w:lang w:eastAsia="en-GB"/>
        </w:rPr>
      </w:pPr>
      <w:r>
        <w:rPr>
          <w:noProof/>
        </w:rPr>
        <w:drawing>
          <wp:inline distT="0" distB="0" distL="0" distR="0" wp14:anchorId="0CB56AEF" wp14:editId="2DBD4076">
            <wp:extent cx="5056094" cy="1848181"/>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t="24030"/>
                    <a:stretch/>
                  </pic:blipFill>
                  <pic:spPr bwMode="auto">
                    <a:xfrm>
                      <a:off x="0" y="0"/>
                      <a:ext cx="5098683" cy="1863749"/>
                    </a:xfrm>
                    <a:prstGeom prst="rect">
                      <a:avLst/>
                    </a:prstGeom>
                    <a:ln>
                      <a:noFill/>
                    </a:ln>
                    <a:extLst>
                      <a:ext uri="{53640926-AAD7-44D8-BBD7-CCE9431645EC}">
                        <a14:shadowObscured xmlns:a14="http://schemas.microsoft.com/office/drawing/2010/main"/>
                      </a:ext>
                    </a:extLst>
                  </pic:spPr>
                </pic:pic>
              </a:graphicData>
            </a:graphic>
          </wp:inline>
        </w:drawing>
      </w:r>
    </w:p>
    <w:p w14:paraId="0D31899A" w14:textId="7A575528" w:rsidR="00D314CE" w:rsidRPr="00723646" w:rsidRDefault="00365E06" w:rsidP="00D314CE">
      <w:pPr>
        <w:rPr>
          <w:b/>
          <w:sz w:val="18"/>
          <w:szCs w:val="18"/>
          <w:lang w:eastAsia="en-GB"/>
        </w:rPr>
      </w:pPr>
      <w:r>
        <w:rPr>
          <w:b/>
          <w:sz w:val="20"/>
          <w:szCs w:val="20"/>
          <w:lang w:eastAsia="en-GB"/>
        </w:rPr>
        <w:tab/>
      </w:r>
      <w:r>
        <w:rPr>
          <w:b/>
          <w:sz w:val="20"/>
          <w:szCs w:val="20"/>
          <w:lang w:eastAsia="en-GB"/>
        </w:rPr>
        <w:tab/>
      </w:r>
      <w:r>
        <w:rPr>
          <w:b/>
          <w:sz w:val="20"/>
          <w:szCs w:val="20"/>
          <w:lang w:eastAsia="en-GB"/>
        </w:rPr>
        <w:tab/>
      </w:r>
      <w:r>
        <w:rPr>
          <w:b/>
          <w:sz w:val="20"/>
          <w:szCs w:val="20"/>
          <w:lang w:eastAsia="en-GB"/>
        </w:rPr>
        <w:tab/>
      </w:r>
      <w:r>
        <w:rPr>
          <w:b/>
          <w:sz w:val="20"/>
          <w:szCs w:val="20"/>
          <w:lang w:eastAsia="en-GB"/>
        </w:rPr>
        <w:tab/>
      </w:r>
      <w:r>
        <w:rPr>
          <w:b/>
          <w:sz w:val="20"/>
          <w:szCs w:val="20"/>
          <w:lang w:eastAsia="en-GB"/>
        </w:rPr>
        <w:tab/>
      </w:r>
      <w:r w:rsidRPr="00723646">
        <w:rPr>
          <w:b/>
          <w:sz w:val="18"/>
          <w:szCs w:val="18"/>
          <w:lang w:eastAsia="en-GB"/>
        </w:rPr>
        <w:t>Source: House of Commons Library (2024)</w:t>
      </w:r>
    </w:p>
    <w:p w14:paraId="3545ECA0" w14:textId="2E13641F" w:rsidR="00D314CE" w:rsidRPr="00115D5B" w:rsidRDefault="007B6735" w:rsidP="00115D5B">
      <w:pPr>
        <w:rPr>
          <w:b/>
        </w:rPr>
      </w:pPr>
      <w:r w:rsidRPr="00115D5B">
        <w:rPr>
          <w:b/>
        </w:rPr>
        <w:lastRenderedPageBreak/>
        <w:t xml:space="preserve">Reasons for the decline </w:t>
      </w:r>
    </w:p>
    <w:p w14:paraId="34BF4ACC" w14:textId="0C4D2916" w:rsidR="00380A43" w:rsidRDefault="00380A43" w:rsidP="00380A43">
      <w:pPr>
        <w:rPr>
          <w:lang w:val="en-GB" w:eastAsia="en-GB"/>
        </w:rPr>
      </w:pPr>
      <w:r>
        <w:rPr>
          <w:lang w:val="en-GB" w:eastAsia="en-GB"/>
        </w:rPr>
        <w:t xml:space="preserve">In </w:t>
      </w:r>
      <w:r w:rsidRPr="007921E7">
        <w:rPr>
          <w:lang w:eastAsia="en-GB"/>
        </w:rPr>
        <w:t xml:space="preserve">July 2018, the </w:t>
      </w:r>
      <w:hyperlink r:id="rId26" w:history="1">
        <w:r w:rsidRPr="007921E7">
          <w:rPr>
            <w:rStyle w:val="Hyperlink"/>
            <w:lang w:eastAsia="en-GB"/>
          </w:rPr>
          <w:t>Access to Cash Review</w:t>
        </w:r>
      </w:hyperlink>
      <w:r w:rsidRPr="007921E7">
        <w:rPr>
          <w:lang w:eastAsia="en-GB"/>
        </w:rPr>
        <w:t xml:space="preserve"> was</w:t>
      </w:r>
      <w:r>
        <w:rPr>
          <w:lang w:eastAsia="en-GB"/>
        </w:rPr>
        <w:t xml:space="preserve"> commissioned</w:t>
      </w:r>
      <w:r w:rsidR="00E75BDC" w:rsidRPr="00E75BDC">
        <w:rPr>
          <w:lang w:eastAsia="en-GB"/>
        </w:rPr>
        <w:t xml:space="preserve"> by </w:t>
      </w:r>
      <w:hyperlink r:id="rId27" w:history="1">
        <w:r w:rsidR="00E75BDC" w:rsidRPr="00E75BDC">
          <w:rPr>
            <w:rStyle w:val="Hyperlink"/>
            <w:lang w:eastAsia="en-GB"/>
          </w:rPr>
          <w:t>LINK</w:t>
        </w:r>
      </w:hyperlink>
      <w:r w:rsidR="0048007B">
        <w:rPr>
          <w:rStyle w:val="Hyperlink"/>
          <w:lang w:eastAsia="en-GB"/>
        </w:rPr>
        <w:t>,</w:t>
      </w:r>
      <w:r w:rsidR="00E75BDC" w:rsidRPr="00E75BDC">
        <w:rPr>
          <w:vertAlign w:val="superscript"/>
          <w:lang w:eastAsia="en-GB"/>
        </w:rPr>
        <w:footnoteReference w:id="17"/>
      </w:r>
      <w:r>
        <w:rPr>
          <w:lang w:eastAsia="en-GB"/>
        </w:rPr>
        <w:t xml:space="preserve"> </w:t>
      </w:r>
      <w:r w:rsidRPr="007921E7">
        <w:rPr>
          <w:lang w:eastAsia="en-GB"/>
        </w:rPr>
        <w:t>as</w:t>
      </w:r>
      <w:r w:rsidR="00E75BDC">
        <w:rPr>
          <w:lang w:eastAsia="en-GB"/>
        </w:rPr>
        <w:t xml:space="preserve"> </w:t>
      </w:r>
      <w:r w:rsidRPr="007921E7">
        <w:rPr>
          <w:lang w:eastAsia="en-GB"/>
        </w:rPr>
        <w:t xml:space="preserve">a response to the rapid decline in cash use, </w:t>
      </w:r>
      <w:r w:rsidRPr="00E75BDC">
        <w:rPr>
          <w:i/>
          <w:lang w:eastAsia="en-GB"/>
        </w:rPr>
        <w:t>among growing concerns about whether we’re leaving people behind who can’t use or access cash in an increasingly digital society</w:t>
      </w:r>
      <w:r>
        <w:rPr>
          <w:lang w:eastAsia="en-GB"/>
        </w:rPr>
        <w:t>.</w:t>
      </w:r>
      <w:r w:rsidR="00E75BDC">
        <w:rPr>
          <w:rStyle w:val="FootnoteReference"/>
          <w:lang w:eastAsia="en-GB"/>
        </w:rPr>
        <w:footnoteReference w:id="18"/>
      </w:r>
      <w:r w:rsidR="00E75BDC">
        <w:rPr>
          <w:lang w:eastAsia="en-GB"/>
        </w:rPr>
        <w:t xml:space="preserve"> The </w:t>
      </w:r>
      <w:r>
        <w:t>review</w:t>
      </w:r>
      <w:r w:rsidR="00E75BDC">
        <w:t xml:space="preserve">’s </w:t>
      </w:r>
      <w:r>
        <w:rPr>
          <w:lang w:eastAsia="en-GB"/>
        </w:rPr>
        <w:t>final report</w:t>
      </w:r>
      <w:r w:rsidR="00E75BDC">
        <w:rPr>
          <w:lang w:eastAsia="en-GB"/>
        </w:rPr>
        <w:t xml:space="preserve">, published in </w:t>
      </w:r>
      <w:r>
        <w:rPr>
          <w:lang w:eastAsia="en-GB"/>
        </w:rPr>
        <w:t>2019</w:t>
      </w:r>
      <w:r w:rsidR="00E75BDC">
        <w:rPr>
          <w:lang w:eastAsia="en-GB"/>
        </w:rPr>
        <w:t xml:space="preserve">, noted </w:t>
      </w:r>
      <w:r>
        <w:rPr>
          <w:lang w:eastAsia="en-GB"/>
        </w:rPr>
        <w:t>the following reasons for the decline in cash throughout the United Kingdom:</w:t>
      </w:r>
    </w:p>
    <w:p w14:paraId="29A53812" w14:textId="77777777" w:rsidR="00380A43" w:rsidRDefault="00380A43" w:rsidP="00380A43">
      <w:pPr>
        <w:pStyle w:val="NormalBulletList"/>
      </w:pPr>
      <w:r>
        <w:t>increased acceptability of cards</w:t>
      </w:r>
    </w:p>
    <w:p w14:paraId="4264DAB6" w14:textId="77777777" w:rsidR="00380A43" w:rsidRDefault="00380A43" w:rsidP="00380A43">
      <w:pPr>
        <w:pStyle w:val="NormalBulletList"/>
      </w:pPr>
      <w:r>
        <w:t>loss of faith in digital payments because of repeated systems failures</w:t>
      </w:r>
    </w:p>
    <w:p w14:paraId="32275F98" w14:textId="77777777" w:rsidR="00380A43" w:rsidRDefault="00380A43" w:rsidP="00380A43">
      <w:pPr>
        <w:pStyle w:val="NormalBulletList"/>
      </w:pPr>
      <w:r>
        <w:t>shops and others stop accepting cash</w:t>
      </w:r>
    </w:p>
    <w:p w14:paraId="2B8B1E24" w14:textId="77777777" w:rsidR="00380A43" w:rsidRDefault="00380A43" w:rsidP="00380A43">
      <w:pPr>
        <w:pStyle w:val="NormalBulletList"/>
      </w:pPr>
      <w:r>
        <w:t>increased use of online shopping</w:t>
      </w:r>
    </w:p>
    <w:p w14:paraId="13100F57" w14:textId="06EC74FC" w:rsidR="00380A43" w:rsidRDefault="00380A43" w:rsidP="00380A43">
      <w:pPr>
        <w:pStyle w:val="NormalBulletList"/>
      </w:pPr>
      <w:r>
        <w:t>increased use of cards, mobile apps on public transport</w:t>
      </w:r>
    </w:p>
    <w:p w14:paraId="6A294249" w14:textId="77777777" w:rsidR="00380A43" w:rsidRDefault="00380A43" w:rsidP="00380A43">
      <w:pPr>
        <w:pStyle w:val="NormalBulletList"/>
      </w:pPr>
      <w:r>
        <w:t>problems and costs of processing and banking cash for retailers</w:t>
      </w:r>
    </w:p>
    <w:p w14:paraId="4BE0E7E0" w14:textId="43A777D2" w:rsidR="00380A43" w:rsidRDefault="00380A43" w:rsidP="00380A43">
      <w:pPr>
        <w:pStyle w:val="NormalBulletList"/>
      </w:pPr>
      <w:r w:rsidRPr="007921E7">
        <w:t xml:space="preserve">accelerated closure of bank branches and </w:t>
      </w:r>
      <w:r>
        <w:t>ATMs.</w:t>
      </w:r>
    </w:p>
    <w:p w14:paraId="7A5F1A52" w14:textId="77777777" w:rsidR="00210628" w:rsidRDefault="00210628" w:rsidP="00210628">
      <w:pPr>
        <w:rPr>
          <w:b/>
          <w:lang w:val="en-GB" w:eastAsia="en-GB"/>
        </w:rPr>
      </w:pPr>
      <w:r w:rsidRPr="001F7427">
        <w:rPr>
          <w:b/>
          <w:lang w:val="en-GB" w:eastAsia="en-GB"/>
        </w:rPr>
        <w:t>Impact of Covid-19</w:t>
      </w:r>
    </w:p>
    <w:p w14:paraId="2D81B4A6" w14:textId="425EE011" w:rsidR="00210628" w:rsidRDefault="00723646" w:rsidP="00210628">
      <w:pPr>
        <w:rPr>
          <w:lang w:eastAsia="en-GB"/>
        </w:rPr>
      </w:pPr>
      <w:r>
        <w:rPr>
          <w:lang w:eastAsia="en-GB"/>
        </w:rPr>
        <w:t xml:space="preserve">The </w:t>
      </w:r>
      <w:r w:rsidR="00210628" w:rsidRPr="001F7427">
        <w:rPr>
          <w:lang w:eastAsia="en-GB"/>
        </w:rPr>
        <w:t xml:space="preserve">Covid-19 </w:t>
      </w:r>
      <w:r>
        <w:rPr>
          <w:lang w:eastAsia="en-GB"/>
        </w:rPr>
        <w:t xml:space="preserve">pandemic and associated lockdowns </w:t>
      </w:r>
      <w:r w:rsidR="00210628" w:rsidRPr="001F7427">
        <w:rPr>
          <w:lang w:eastAsia="en-GB"/>
        </w:rPr>
        <w:t>ha</w:t>
      </w:r>
      <w:r>
        <w:rPr>
          <w:lang w:eastAsia="en-GB"/>
        </w:rPr>
        <w:t>ve</w:t>
      </w:r>
      <w:r w:rsidR="00210628" w:rsidRPr="001F7427">
        <w:rPr>
          <w:lang w:eastAsia="en-GB"/>
        </w:rPr>
        <w:t xml:space="preserve"> had a noticeable impact on the use of cash and the demand for cash in the U</w:t>
      </w:r>
      <w:r w:rsidR="00210628">
        <w:rPr>
          <w:lang w:eastAsia="en-GB"/>
        </w:rPr>
        <w:t xml:space="preserve">nited </w:t>
      </w:r>
      <w:r w:rsidR="00210628" w:rsidRPr="001F7427">
        <w:rPr>
          <w:lang w:eastAsia="en-GB"/>
        </w:rPr>
        <w:t>K</w:t>
      </w:r>
      <w:r w:rsidR="00210628">
        <w:rPr>
          <w:lang w:eastAsia="en-GB"/>
        </w:rPr>
        <w:t>ingdom</w:t>
      </w:r>
      <w:r w:rsidR="00210628" w:rsidRPr="001F7427">
        <w:rPr>
          <w:lang w:eastAsia="en-GB"/>
        </w:rPr>
        <w:t>.</w:t>
      </w:r>
      <w:r w:rsidR="00210628">
        <w:rPr>
          <w:lang w:eastAsia="en-GB"/>
        </w:rPr>
        <w:t xml:space="preserve"> From the beginning of the pandemic in 2020</w:t>
      </w:r>
      <w:r w:rsidR="00210628" w:rsidRPr="001F7427">
        <w:rPr>
          <w:lang w:eastAsia="en-GB"/>
        </w:rPr>
        <w:t xml:space="preserve">, cash payments </w:t>
      </w:r>
      <w:r w:rsidR="00210628">
        <w:rPr>
          <w:lang w:eastAsia="en-GB"/>
        </w:rPr>
        <w:t xml:space="preserve">declined </w:t>
      </w:r>
      <w:r w:rsidR="00210628" w:rsidRPr="001F7427">
        <w:rPr>
          <w:lang w:eastAsia="en-GB"/>
        </w:rPr>
        <w:t xml:space="preserve">35% </w:t>
      </w:r>
      <w:r w:rsidR="00210628">
        <w:rPr>
          <w:lang w:eastAsia="en-GB"/>
        </w:rPr>
        <w:t xml:space="preserve">since </w:t>
      </w:r>
      <w:r w:rsidR="00210628" w:rsidRPr="001F7427">
        <w:rPr>
          <w:lang w:eastAsia="en-GB"/>
        </w:rPr>
        <w:t>2019</w:t>
      </w:r>
      <w:r w:rsidR="00210628">
        <w:rPr>
          <w:lang w:eastAsia="en-GB"/>
        </w:rPr>
        <w:t>.</w:t>
      </w:r>
      <w:r w:rsidR="00210628" w:rsidRPr="00210628">
        <w:rPr>
          <w:vertAlign w:val="superscript"/>
          <w:lang w:eastAsia="en-GB"/>
        </w:rPr>
        <w:footnoteReference w:id="19"/>
      </w:r>
      <w:r w:rsidR="00210628">
        <w:rPr>
          <w:lang w:eastAsia="en-GB"/>
        </w:rPr>
        <w:t xml:space="preserve"> In the same period, </w:t>
      </w:r>
      <w:r w:rsidR="00210628" w:rsidRPr="001F7427">
        <w:rPr>
          <w:lang w:eastAsia="en-GB"/>
        </w:rPr>
        <w:t>ATM withdrawals fell by around 60%</w:t>
      </w:r>
      <w:r w:rsidR="00210628">
        <w:rPr>
          <w:lang w:eastAsia="en-GB"/>
        </w:rPr>
        <w:t>.</w:t>
      </w:r>
      <w:r w:rsidR="00210628" w:rsidRPr="001F7427">
        <w:rPr>
          <w:lang w:eastAsia="en-GB"/>
        </w:rPr>
        <w:t xml:space="preserve"> </w:t>
      </w:r>
      <w:r w:rsidR="00210628">
        <w:rPr>
          <w:lang w:eastAsia="en-GB"/>
        </w:rPr>
        <w:t xml:space="preserve">The Bank of England </w:t>
      </w:r>
      <w:r w:rsidR="00BE752B">
        <w:rPr>
          <w:lang w:eastAsia="en-GB"/>
        </w:rPr>
        <w:t xml:space="preserve">identified </w:t>
      </w:r>
      <w:r w:rsidR="00210628">
        <w:rPr>
          <w:lang w:eastAsia="en-GB"/>
        </w:rPr>
        <w:t xml:space="preserve">the following </w:t>
      </w:r>
      <w:r w:rsidR="00210628" w:rsidRPr="001F7427">
        <w:rPr>
          <w:lang w:eastAsia="en-GB"/>
        </w:rPr>
        <w:t>reasons for this</w:t>
      </w:r>
      <w:r w:rsidR="00210628">
        <w:rPr>
          <w:lang w:eastAsia="en-GB"/>
        </w:rPr>
        <w:t xml:space="preserve"> decline:</w:t>
      </w:r>
      <w:r w:rsidR="00210628">
        <w:rPr>
          <w:rStyle w:val="FootnoteReference"/>
          <w:lang w:eastAsia="en-GB"/>
        </w:rPr>
        <w:footnoteReference w:id="20"/>
      </w:r>
    </w:p>
    <w:p w14:paraId="63FC1DB1" w14:textId="77777777" w:rsidR="00210628" w:rsidRDefault="00210628" w:rsidP="00210628">
      <w:pPr>
        <w:pStyle w:val="NormalBulletList"/>
        <w:rPr>
          <w:lang w:eastAsia="en-GB"/>
        </w:rPr>
      </w:pPr>
      <w:r w:rsidRPr="001F7427">
        <w:rPr>
          <w:lang w:eastAsia="en-GB"/>
        </w:rPr>
        <w:t>lower overall levels of consumption</w:t>
      </w:r>
    </w:p>
    <w:p w14:paraId="5A0C03E3" w14:textId="77777777" w:rsidR="00210628" w:rsidRDefault="00210628" w:rsidP="00210628">
      <w:pPr>
        <w:pStyle w:val="NormalBulletList"/>
        <w:rPr>
          <w:lang w:eastAsia="en-GB"/>
        </w:rPr>
      </w:pPr>
      <w:r w:rsidRPr="001F7427">
        <w:rPr>
          <w:lang w:eastAsia="en-GB"/>
        </w:rPr>
        <w:t xml:space="preserve">higher online shopping </w:t>
      </w:r>
    </w:p>
    <w:p w14:paraId="19FE0D95" w14:textId="38F4D0A1" w:rsidR="00210628" w:rsidRDefault="00210628" w:rsidP="00210628">
      <w:pPr>
        <w:pStyle w:val="NormalBulletList"/>
        <w:rPr>
          <w:lang w:eastAsia="en-GB"/>
        </w:rPr>
      </w:pPr>
      <w:r w:rsidRPr="001F7427">
        <w:rPr>
          <w:lang w:eastAsia="en-GB"/>
        </w:rPr>
        <w:t>consumers becoming more comfortable with contactless technology.</w:t>
      </w:r>
    </w:p>
    <w:p w14:paraId="2B2F03E1" w14:textId="190D22EC" w:rsidR="00FB1127" w:rsidRDefault="00380A43" w:rsidP="00380A43">
      <w:pPr>
        <w:pStyle w:val="Heading3"/>
      </w:pPr>
      <w:r>
        <w:lastRenderedPageBreak/>
        <w:t>Bank</w:t>
      </w:r>
      <w:r w:rsidR="00207D15">
        <w:t xml:space="preserve"> </w:t>
      </w:r>
      <w:r w:rsidR="00EF75BB">
        <w:t>Closures in Northern Ireland</w:t>
      </w:r>
    </w:p>
    <w:p w14:paraId="7AD8FBFD" w14:textId="4E343E00" w:rsidR="00BE21E1" w:rsidRDefault="00723646" w:rsidP="00BE21E1">
      <w:pPr>
        <w:rPr>
          <w:lang w:val="en-GB" w:eastAsia="en-GB"/>
        </w:rPr>
      </w:pPr>
      <w:r>
        <w:rPr>
          <w:lang w:val="en-GB" w:eastAsia="en-GB"/>
        </w:rPr>
        <w:t>As noted earlier in this Paper (</w:t>
      </w:r>
      <w:r w:rsidR="00B84856">
        <w:rPr>
          <w:lang w:val="en-GB" w:eastAsia="en-GB"/>
        </w:rPr>
        <w:t>sub-</w:t>
      </w:r>
      <w:r>
        <w:rPr>
          <w:lang w:val="en-GB" w:eastAsia="en-GB"/>
        </w:rPr>
        <w:t>section 1.2), i</w:t>
      </w:r>
      <w:r w:rsidR="00BE21E1">
        <w:rPr>
          <w:lang w:val="en-GB" w:eastAsia="en-GB"/>
        </w:rPr>
        <w:t xml:space="preserve">n June 2023, the </w:t>
      </w:r>
      <w:r w:rsidR="00207D15">
        <w:rPr>
          <w:lang w:val="en-GB" w:eastAsia="en-GB"/>
        </w:rPr>
        <w:t>N</w:t>
      </w:r>
      <w:r>
        <w:rPr>
          <w:lang w:val="en-GB" w:eastAsia="en-GB"/>
        </w:rPr>
        <w:t>ICC</w:t>
      </w:r>
      <w:r w:rsidR="00BE21E1">
        <w:rPr>
          <w:lang w:val="en-GB" w:eastAsia="en-GB"/>
        </w:rPr>
        <w:t xml:space="preserve"> </w:t>
      </w:r>
      <w:r w:rsidR="00207D15">
        <w:rPr>
          <w:lang w:val="en-GB" w:eastAsia="en-GB"/>
        </w:rPr>
        <w:t xml:space="preserve">published </w:t>
      </w:r>
      <w:hyperlink r:id="rId28" w:history="1">
        <w:r w:rsidR="00207D15" w:rsidRPr="00207D15">
          <w:rPr>
            <w:rStyle w:val="Hyperlink"/>
            <w:lang w:val="en-GB" w:eastAsia="en-GB"/>
          </w:rPr>
          <w:t>Access to Banking Services in Northern Ireland</w:t>
        </w:r>
      </w:hyperlink>
      <w:r w:rsidR="00207D15">
        <w:rPr>
          <w:lang w:val="en-GB" w:eastAsia="en-GB"/>
        </w:rPr>
        <w:t>, an analysis of bank closures across Northern Ireland from 2020 to early 2023. That report noted that 21% of consumers in Northern Ireland have seen their local bank close within the last three years.</w:t>
      </w:r>
      <w:r w:rsidR="00207D15">
        <w:rPr>
          <w:rStyle w:val="FootnoteReference"/>
          <w:lang w:val="en-GB" w:eastAsia="en-GB"/>
        </w:rPr>
        <w:footnoteReference w:id="21"/>
      </w:r>
      <w:r w:rsidR="00207D15">
        <w:rPr>
          <w:lang w:val="en-GB" w:eastAsia="en-GB"/>
        </w:rPr>
        <w:t xml:space="preserve"> Of these</w:t>
      </w:r>
      <w:r w:rsidR="00B84856">
        <w:rPr>
          <w:lang w:val="en-GB" w:eastAsia="en-GB"/>
        </w:rPr>
        <w:t>,</w:t>
      </w:r>
      <w:r w:rsidR="00207D15">
        <w:rPr>
          <w:lang w:val="en-GB" w:eastAsia="en-GB"/>
        </w:rPr>
        <w:t xml:space="preserve"> 21%, over four fifths (84%)</w:t>
      </w:r>
      <w:r w:rsidR="00EF75BB">
        <w:rPr>
          <w:lang w:val="en-GB" w:eastAsia="en-GB"/>
        </w:rPr>
        <w:t>,</w:t>
      </w:r>
      <w:r w:rsidR="00207D15">
        <w:rPr>
          <w:lang w:val="en-GB" w:eastAsia="en-GB"/>
        </w:rPr>
        <w:t xml:space="preserve"> said the branch closure had an impact on them. </w:t>
      </w:r>
      <w:r w:rsidR="00645AC2">
        <w:rPr>
          <w:lang w:val="en-GB" w:eastAsia="en-GB"/>
        </w:rPr>
        <w:t>The impact was particularly hard felt by consumers with a disability</w:t>
      </w:r>
      <w:r w:rsidR="00B84856">
        <w:rPr>
          <w:lang w:val="en-GB" w:eastAsia="en-GB"/>
        </w:rPr>
        <w:t>;</w:t>
      </w:r>
      <w:r w:rsidR="00645AC2">
        <w:rPr>
          <w:lang w:val="en-GB" w:eastAsia="en-GB"/>
        </w:rPr>
        <w:t xml:space="preserve"> 94% reported </w:t>
      </w:r>
      <w:r w:rsidR="00B84856">
        <w:rPr>
          <w:lang w:val="en-GB" w:eastAsia="en-GB"/>
        </w:rPr>
        <w:t xml:space="preserve">such </w:t>
      </w:r>
      <w:r w:rsidR="00645AC2">
        <w:rPr>
          <w:lang w:val="en-GB" w:eastAsia="en-GB"/>
        </w:rPr>
        <w:t>closures had impact</w:t>
      </w:r>
      <w:r w:rsidR="00B84856">
        <w:rPr>
          <w:lang w:val="en-GB" w:eastAsia="en-GB"/>
        </w:rPr>
        <w:t>ed</w:t>
      </w:r>
      <w:r w:rsidR="00645AC2">
        <w:rPr>
          <w:lang w:val="en-GB" w:eastAsia="en-GB"/>
        </w:rPr>
        <w:t xml:space="preserve"> them.</w:t>
      </w:r>
    </w:p>
    <w:p w14:paraId="3A0211B4" w14:textId="095F6B8A" w:rsidR="008C17BF" w:rsidRDefault="008C17BF" w:rsidP="00BE21E1">
      <w:pPr>
        <w:rPr>
          <w:lang w:val="en-GB" w:eastAsia="en-GB"/>
        </w:rPr>
      </w:pPr>
      <w:r>
        <w:rPr>
          <w:lang w:val="en-GB" w:eastAsia="en-GB"/>
        </w:rPr>
        <w:t xml:space="preserve">Figure 6 below </w:t>
      </w:r>
      <w:r w:rsidR="00AE60E4">
        <w:rPr>
          <w:lang w:val="en-GB" w:eastAsia="en-GB"/>
        </w:rPr>
        <w:t xml:space="preserve">shows branch bank closures 2020-2024. Highest number of branch closures over the period is in the Belfast City Council area. Outside Belfast, </w:t>
      </w:r>
      <w:r w:rsidR="00BE752B">
        <w:rPr>
          <w:lang w:val="en-GB" w:eastAsia="en-GB"/>
        </w:rPr>
        <w:t>Newry, Mourne and Down</w:t>
      </w:r>
      <w:r w:rsidR="00AE60E4">
        <w:rPr>
          <w:lang w:val="en-GB" w:eastAsia="en-GB"/>
        </w:rPr>
        <w:t xml:space="preserve"> saw the largest number over closures (</w:t>
      </w:r>
      <w:r w:rsidR="00BE752B">
        <w:rPr>
          <w:lang w:val="en-GB" w:eastAsia="en-GB"/>
        </w:rPr>
        <w:t>11</w:t>
      </w:r>
      <w:r w:rsidR="00AE60E4">
        <w:rPr>
          <w:lang w:val="en-GB" w:eastAsia="en-GB"/>
        </w:rPr>
        <w:t xml:space="preserve">) over the period. </w:t>
      </w:r>
      <w:r w:rsidR="00D340E4">
        <w:rPr>
          <w:lang w:val="en-GB" w:eastAsia="en-GB"/>
        </w:rPr>
        <w:t xml:space="preserve">Lisburn &amp; Castlereagh, </w:t>
      </w:r>
      <w:r w:rsidR="00AE60E4">
        <w:rPr>
          <w:lang w:val="en-GB" w:eastAsia="en-GB"/>
        </w:rPr>
        <w:t xml:space="preserve">Mid Ulster and Mid &amp; East Antrim </w:t>
      </w:r>
      <w:r w:rsidR="00D340E4">
        <w:rPr>
          <w:lang w:val="en-GB" w:eastAsia="en-GB"/>
        </w:rPr>
        <w:t xml:space="preserve">all </w:t>
      </w:r>
      <w:r w:rsidR="00AE60E4">
        <w:rPr>
          <w:lang w:val="en-GB" w:eastAsia="en-GB"/>
        </w:rPr>
        <w:t>saw the small</w:t>
      </w:r>
      <w:r w:rsidR="00D340E4">
        <w:rPr>
          <w:lang w:val="en-GB" w:eastAsia="en-GB"/>
        </w:rPr>
        <w:t>est</w:t>
      </w:r>
      <w:r w:rsidR="00AE60E4">
        <w:rPr>
          <w:lang w:val="en-GB" w:eastAsia="en-GB"/>
        </w:rPr>
        <w:t xml:space="preserve"> amount of branch closures</w:t>
      </w:r>
      <w:r w:rsidR="00B84856">
        <w:rPr>
          <w:lang w:val="en-GB" w:eastAsia="en-GB"/>
        </w:rPr>
        <w:t>,</w:t>
      </w:r>
      <w:r w:rsidR="00AE60E4">
        <w:rPr>
          <w:lang w:val="en-GB" w:eastAsia="en-GB"/>
        </w:rPr>
        <w:t xml:space="preserve"> with four in each council area over the noted period</w:t>
      </w:r>
      <w:r w:rsidR="00B84856">
        <w:rPr>
          <w:lang w:val="en-GB" w:eastAsia="en-GB"/>
        </w:rPr>
        <w:t>:</w:t>
      </w:r>
    </w:p>
    <w:p w14:paraId="4D13691E" w14:textId="7CB470D9" w:rsidR="00723646" w:rsidRDefault="00723646" w:rsidP="00BE21E1">
      <w:pPr>
        <w:rPr>
          <w:lang w:val="en-GB" w:eastAsia="en-GB"/>
        </w:rPr>
      </w:pPr>
    </w:p>
    <w:p w14:paraId="315A2394" w14:textId="6A13AA39" w:rsidR="00723646" w:rsidRDefault="00723646" w:rsidP="00BE21E1">
      <w:pPr>
        <w:rPr>
          <w:lang w:val="en-GB" w:eastAsia="en-GB"/>
        </w:rPr>
      </w:pPr>
    </w:p>
    <w:p w14:paraId="0F763529" w14:textId="44E22150" w:rsidR="00723646" w:rsidRDefault="00723646" w:rsidP="00BE21E1">
      <w:pPr>
        <w:rPr>
          <w:lang w:val="en-GB" w:eastAsia="en-GB"/>
        </w:rPr>
      </w:pPr>
    </w:p>
    <w:p w14:paraId="3224D57A" w14:textId="4A1E73E0" w:rsidR="00723646" w:rsidRDefault="00723646" w:rsidP="00BE21E1">
      <w:pPr>
        <w:rPr>
          <w:lang w:val="en-GB" w:eastAsia="en-GB"/>
        </w:rPr>
      </w:pPr>
    </w:p>
    <w:p w14:paraId="0D5027F4" w14:textId="57196B5E" w:rsidR="00723646" w:rsidRDefault="00723646" w:rsidP="00BE21E1">
      <w:pPr>
        <w:rPr>
          <w:lang w:val="en-GB" w:eastAsia="en-GB"/>
        </w:rPr>
      </w:pPr>
    </w:p>
    <w:p w14:paraId="0538EA0A" w14:textId="737742E4" w:rsidR="00723646" w:rsidRDefault="00723646" w:rsidP="00BE21E1">
      <w:pPr>
        <w:rPr>
          <w:lang w:val="en-GB" w:eastAsia="en-GB"/>
        </w:rPr>
      </w:pPr>
    </w:p>
    <w:p w14:paraId="414E2D0C" w14:textId="6F2307E3" w:rsidR="00723646" w:rsidRDefault="00723646" w:rsidP="00BE21E1">
      <w:pPr>
        <w:rPr>
          <w:lang w:val="en-GB" w:eastAsia="en-GB"/>
        </w:rPr>
      </w:pPr>
    </w:p>
    <w:p w14:paraId="2DF28A33" w14:textId="4CAC8E62" w:rsidR="00723646" w:rsidRDefault="00723646" w:rsidP="00BE21E1">
      <w:pPr>
        <w:rPr>
          <w:lang w:val="en-GB" w:eastAsia="en-GB"/>
        </w:rPr>
      </w:pPr>
    </w:p>
    <w:p w14:paraId="12DF26DD" w14:textId="11A1EF3D" w:rsidR="00723646" w:rsidRDefault="00723646" w:rsidP="00BE21E1">
      <w:pPr>
        <w:rPr>
          <w:lang w:val="en-GB" w:eastAsia="en-GB"/>
        </w:rPr>
      </w:pPr>
    </w:p>
    <w:p w14:paraId="0C63ABC3" w14:textId="77777777" w:rsidR="00BE752B" w:rsidRDefault="00BE752B" w:rsidP="00BE21E1">
      <w:pPr>
        <w:rPr>
          <w:lang w:val="en-GB" w:eastAsia="en-GB"/>
        </w:rPr>
      </w:pPr>
    </w:p>
    <w:p w14:paraId="30C49CC6" w14:textId="77777777" w:rsidR="00723646" w:rsidRDefault="00723646" w:rsidP="00BE21E1">
      <w:pPr>
        <w:rPr>
          <w:lang w:val="en-GB" w:eastAsia="en-GB"/>
        </w:rPr>
      </w:pPr>
    </w:p>
    <w:p w14:paraId="523AFE62" w14:textId="6DE5BA8D" w:rsidR="00723646" w:rsidRDefault="00723646" w:rsidP="00723646">
      <w:pPr>
        <w:rPr>
          <w:b/>
          <w:sz w:val="20"/>
          <w:szCs w:val="20"/>
          <w:lang w:val="en-GB" w:eastAsia="en-GB"/>
        </w:rPr>
      </w:pPr>
      <w:r w:rsidRPr="00723646">
        <w:rPr>
          <w:b/>
          <w:sz w:val="20"/>
          <w:szCs w:val="20"/>
          <w:lang w:val="en-GB" w:eastAsia="en-GB"/>
        </w:rPr>
        <w:lastRenderedPageBreak/>
        <w:t>Figure 6</w:t>
      </w:r>
      <w:r>
        <w:rPr>
          <w:b/>
          <w:sz w:val="20"/>
          <w:szCs w:val="20"/>
          <w:lang w:val="en-GB" w:eastAsia="en-GB"/>
        </w:rPr>
        <w:t>:</w:t>
      </w:r>
      <w:r w:rsidRPr="00723646">
        <w:rPr>
          <w:b/>
          <w:sz w:val="20"/>
          <w:szCs w:val="20"/>
          <w:lang w:val="en-GB" w:eastAsia="en-GB"/>
        </w:rPr>
        <w:t xml:space="preserve"> Northern Ireland Branch Bank Closures </w:t>
      </w:r>
    </w:p>
    <w:p w14:paraId="2132AE1B" w14:textId="592A63F4" w:rsidR="00D340E4" w:rsidRPr="00723646" w:rsidRDefault="00D340E4" w:rsidP="00723646">
      <w:pPr>
        <w:rPr>
          <w:b/>
          <w:sz w:val="20"/>
          <w:szCs w:val="20"/>
          <w:lang w:eastAsia="en-GB"/>
        </w:rPr>
      </w:pPr>
      <w:r>
        <w:rPr>
          <w:noProof/>
        </w:rPr>
        <w:drawing>
          <wp:inline distT="0" distB="0" distL="0" distR="0" wp14:anchorId="4A496FA4" wp14:editId="261A2199">
            <wp:extent cx="5759450" cy="54330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759450" cy="5433060"/>
                    </a:xfrm>
                    <a:prstGeom prst="rect">
                      <a:avLst/>
                    </a:prstGeom>
                  </pic:spPr>
                </pic:pic>
              </a:graphicData>
            </a:graphic>
          </wp:inline>
        </w:drawing>
      </w:r>
    </w:p>
    <w:p w14:paraId="7FCCA9A6" w14:textId="1A02FADC" w:rsidR="001B2C62" w:rsidRDefault="00723646" w:rsidP="00BE21E1">
      <w:pPr>
        <w:rPr>
          <w:b/>
          <w:sz w:val="20"/>
          <w:szCs w:val="20"/>
          <w:lang w:val="en-GB" w:eastAsia="en-GB"/>
        </w:rPr>
      </w:pPr>
      <w:r>
        <w:rPr>
          <w:b/>
          <w:sz w:val="20"/>
          <w:szCs w:val="20"/>
          <w:lang w:val="en-GB" w:eastAsia="en-GB"/>
        </w:rPr>
        <w:tab/>
      </w:r>
      <w:r>
        <w:rPr>
          <w:b/>
          <w:sz w:val="20"/>
          <w:szCs w:val="20"/>
          <w:lang w:val="en-GB" w:eastAsia="en-GB"/>
        </w:rPr>
        <w:tab/>
      </w:r>
      <w:r>
        <w:rPr>
          <w:b/>
          <w:sz w:val="20"/>
          <w:szCs w:val="20"/>
          <w:lang w:val="en-GB" w:eastAsia="en-GB"/>
        </w:rPr>
        <w:tab/>
      </w:r>
      <w:r>
        <w:rPr>
          <w:b/>
          <w:sz w:val="20"/>
          <w:szCs w:val="20"/>
          <w:lang w:val="en-GB" w:eastAsia="en-GB"/>
        </w:rPr>
        <w:tab/>
      </w:r>
      <w:r>
        <w:rPr>
          <w:b/>
          <w:sz w:val="20"/>
          <w:szCs w:val="20"/>
          <w:lang w:val="en-GB" w:eastAsia="en-GB"/>
        </w:rPr>
        <w:tab/>
      </w:r>
      <w:r>
        <w:rPr>
          <w:b/>
          <w:sz w:val="20"/>
          <w:szCs w:val="20"/>
          <w:lang w:val="en-GB" w:eastAsia="en-GB"/>
        </w:rPr>
        <w:tab/>
      </w:r>
      <w:r>
        <w:rPr>
          <w:b/>
          <w:sz w:val="20"/>
          <w:szCs w:val="20"/>
          <w:lang w:val="en-GB" w:eastAsia="en-GB"/>
        </w:rPr>
        <w:tab/>
      </w:r>
      <w:r>
        <w:rPr>
          <w:b/>
          <w:sz w:val="20"/>
          <w:szCs w:val="20"/>
          <w:lang w:val="en-GB" w:eastAsia="en-GB"/>
        </w:rPr>
        <w:tab/>
      </w:r>
      <w:r>
        <w:rPr>
          <w:b/>
          <w:sz w:val="20"/>
          <w:szCs w:val="20"/>
          <w:lang w:val="en-GB" w:eastAsia="en-GB"/>
        </w:rPr>
        <w:tab/>
      </w:r>
      <w:r w:rsidR="00EF75BB">
        <w:rPr>
          <w:b/>
          <w:sz w:val="20"/>
          <w:szCs w:val="20"/>
          <w:lang w:val="en-GB" w:eastAsia="en-GB"/>
        </w:rPr>
        <w:tab/>
      </w:r>
      <w:r w:rsidR="00EF75BB">
        <w:rPr>
          <w:b/>
          <w:sz w:val="20"/>
          <w:szCs w:val="20"/>
          <w:lang w:val="en-GB" w:eastAsia="en-GB"/>
        </w:rPr>
        <w:tab/>
      </w:r>
      <w:r w:rsidR="00714CB0" w:rsidRPr="00723646">
        <w:rPr>
          <w:b/>
          <w:sz w:val="20"/>
          <w:szCs w:val="20"/>
          <w:lang w:val="en-GB" w:eastAsia="en-GB"/>
        </w:rPr>
        <w:t>Source:</w:t>
      </w:r>
      <w:r w:rsidR="00EF75BB" w:rsidRPr="00723646">
        <w:rPr>
          <w:b/>
          <w:sz w:val="20"/>
          <w:szCs w:val="20"/>
          <w:lang w:val="en-GB" w:eastAsia="en-GB"/>
        </w:rPr>
        <w:t xml:space="preserve"> LPS (2024)</w:t>
      </w:r>
    </w:p>
    <w:p w14:paraId="7F5E7AB2" w14:textId="77777777" w:rsidR="00D340E4" w:rsidRPr="00723646" w:rsidRDefault="00D340E4" w:rsidP="00BE21E1">
      <w:pPr>
        <w:rPr>
          <w:b/>
          <w:sz w:val="20"/>
          <w:szCs w:val="20"/>
          <w:lang w:val="en-GB" w:eastAsia="en-GB"/>
        </w:rPr>
      </w:pPr>
    </w:p>
    <w:p w14:paraId="50DD445A" w14:textId="6D2929BC" w:rsidR="00380A43" w:rsidRDefault="0055590E" w:rsidP="00207D15">
      <w:pPr>
        <w:pStyle w:val="Heading4"/>
      </w:pPr>
      <w:r>
        <w:t xml:space="preserve">Post Office </w:t>
      </w:r>
      <w:r w:rsidR="00380A43">
        <w:t>Closures</w:t>
      </w:r>
    </w:p>
    <w:p w14:paraId="7BA3E5EE" w14:textId="4B1DECC1" w:rsidR="0055590E" w:rsidRDefault="00FB1127" w:rsidP="00E75BDC">
      <w:pPr>
        <w:rPr>
          <w:lang w:eastAsia="en-GB"/>
        </w:rPr>
      </w:pPr>
      <w:r>
        <w:rPr>
          <w:lang w:eastAsia="en-GB"/>
        </w:rPr>
        <w:t xml:space="preserve">Figure </w:t>
      </w:r>
      <w:r w:rsidR="00AE60E4">
        <w:rPr>
          <w:lang w:eastAsia="en-GB"/>
        </w:rPr>
        <w:t>7</w:t>
      </w:r>
      <w:r>
        <w:rPr>
          <w:lang w:eastAsia="en-GB"/>
        </w:rPr>
        <w:t xml:space="preserve"> </w:t>
      </w:r>
      <w:r w:rsidR="00B84856">
        <w:rPr>
          <w:lang w:eastAsia="en-GB"/>
        </w:rPr>
        <w:t xml:space="preserve">below </w:t>
      </w:r>
      <w:r>
        <w:rPr>
          <w:lang w:eastAsia="en-GB"/>
        </w:rPr>
        <w:t xml:space="preserve">presents the </w:t>
      </w:r>
      <w:r w:rsidRPr="00FB1127">
        <w:rPr>
          <w:lang w:eastAsia="en-GB"/>
        </w:rPr>
        <w:t>change in the number of post office branches across the United Kingdom</w:t>
      </w:r>
      <w:r w:rsidR="0055590E" w:rsidRPr="0055590E">
        <w:rPr>
          <w:lang w:eastAsia="en-GB"/>
        </w:rPr>
        <w:t xml:space="preserve">, </w:t>
      </w:r>
      <w:r>
        <w:rPr>
          <w:lang w:eastAsia="en-GB"/>
        </w:rPr>
        <w:t>d</w:t>
      </w:r>
      <w:r w:rsidRPr="00FB1127">
        <w:rPr>
          <w:lang w:eastAsia="en-GB"/>
        </w:rPr>
        <w:t>uring the period between March 2022 and March 2023</w:t>
      </w:r>
      <w:r>
        <w:rPr>
          <w:lang w:eastAsia="en-GB"/>
        </w:rPr>
        <w:t xml:space="preserve">. </w:t>
      </w:r>
      <w:r w:rsidR="00B84856">
        <w:rPr>
          <w:lang w:eastAsia="en-GB"/>
        </w:rPr>
        <w:t xml:space="preserve">It </w:t>
      </w:r>
      <w:r>
        <w:rPr>
          <w:lang w:eastAsia="en-GB"/>
        </w:rPr>
        <w:t xml:space="preserve">shows the number of Northern Ireland post offices fell by </w:t>
      </w:r>
      <w:r w:rsidR="0055590E" w:rsidRPr="0055590E">
        <w:rPr>
          <w:lang w:eastAsia="en-GB"/>
        </w:rPr>
        <w:t>1.6% in</w:t>
      </w:r>
      <w:r>
        <w:rPr>
          <w:lang w:eastAsia="en-GB"/>
        </w:rPr>
        <w:t xml:space="preserve"> the period, the largest </w:t>
      </w:r>
      <w:r w:rsidR="00E230F6">
        <w:rPr>
          <w:lang w:eastAsia="en-GB"/>
        </w:rPr>
        <w:t xml:space="preserve">percentage </w:t>
      </w:r>
      <w:r>
        <w:rPr>
          <w:lang w:eastAsia="en-GB"/>
        </w:rPr>
        <w:t xml:space="preserve">drop </w:t>
      </w:r>
      <w:r w:rsidR="00E230F6">
        <w:rPr>
          <w:lang w:eastAsia="en-GB"/>
        </w:rPr>
        <w:t>in the United Kingdom</w:t>
      </w:r>
      <w:r w:rsidR="00B84856">
        <w:rPr>
          <w:lang w:eastAsia="en-GB"/>
        </w:rPr>
        <w:t>:</w:t>
      </w:r>
      <w:r>
        <w:rPr>
          <w:lang w:eastAsia="en-GB"/>
        </w:rPr>
        <w:t xml:space="preserve">  </w:t>
      </w:r>
    </w:p>
    <w:p w14:paraId="043E28B3" w14:textId="270A1703" w:rsidR="00FB1127" w:rsidRDefault="00FB1127" w:rsidP="00E75BDC">
      <w:pPr>
        <w:rPr>
          <w:lang w:val="en-GB" w:eastAsia="en-GB"/>
        </w:rPr>
      </w:pPr>
      <w:r w:rsidRPr="00FB1127">
        <w:rPr>
          <w:b/>
          <w:sz w:val="20"/>
          <w:szCs w:val="20"/>
          <w:lang w:val="en-GB" w:eastAsia="en-GB"/>
        </w:rPr>
        <w:lastRenderedPageBreak/>
        <w:t xml:space="preserve">Figure </w:t>
      </w:r>
      <w:r w:rsidR="00AE60E4">
        <w:rPr>
          <w:b/>
          <w:sz w:val="20"/>
          <w:szCs w:val="20"/>
          <w:lang w:val="en-GB" w:eastAsia="en-GB"/>
        </w:rPr>
        <w:t>7</w:t>
      </w:r>
      <w:r w:rsidRPr="00FB1127">
        <w:rPr>
          <w:b/>
          <w:sz w:val="20"/>
          <w:szCs w:val="20"/>
          <w:lang w:val="en-GB" w:eastAsia="en-GB"/>
        </w:rPr>
        <w:t xml:space="preserve"> Post Offices Closures</w:t>
      </w:r>
      <w:r w:rsidR="00B84856">
        <w:rPr>
          <w:b/>
          <w:sz w:val="20"/>
          <w:szCs w:val="20"/>
          <w:lang w:val="en-GB" w:eastAsia="en-GB"/>
        </w:rPr>
        <w:t xml:space="preserve"> United Kingdom</w:t>
      </w:r>
      <w:r w:rsidRPr="00FB1127">
        <w:rPr>
          <w:b/>
          <w:sz w:val="20"/>
          <w:szCs w:val="20"/>
          <w:lang w:val="en-GB" w:eastAsia="en-GB"/>
        </w:rPr>
        <w:t xml:space="preserve"> 2022-23</w:t>
      </w:r>
      <w:r>
        <w:rPr>
          <w:rStyle w:val="FootnoteReference"/>
          <w:lang w:val="en-GB" w:eastAsia="en-GB"/>
        </w:rPr>
        <w:footnoteReference w:id="22"/>
      </w:r>
    </w:p>
    <w:p w14:paraId="2EB9A150" w14:textId="2EAD3503" w:rsidR="0055590E" w:rsidRDefault="0055590E" w:rsidP="00E75BDC">
      <w:pPr>
        <w:rPr>
          <w:lang w:val="en-GB" w:eastAsia="en-GB"/>
        </w:rPr>
      </w:pPr>
      <w:r>
        <w:rPr>
          <w:noProof/>
        </w:rPr>
        <w:drawing>
          <wp:inline distT="0" distB="0" distL="0" distR="0" wp14:anchorId="45D77DE5" wp14:editId="770590CE">
            <wp:extent cx="4067175" cy="338137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4067175" cy="3381375"/>
                    </a:xfrm>
                    <a:prstGeom prst="rect">
                      <a:avLst/>
                    </a:prstGeom>
                  </pic:spPr>
                </pic:pic>
              </a:graphicData>
            </a:graphic>
          </wp:inline>
        </w:drawing>
      </w:r>
    </w:p>
    <w:p w14:paraId="7E590DCB" w14:textId="560F3575" w:rsidR="0055590E" w:rsidRPr="00FB1127" w:rsidRDefault="00FB1127" w:rsidP="00E75BDC">
      <w:pPr>
        <w:rPr>
          <w:b/>
          <w:sz w:val="20"/>
          <w:szCs w:val="20"/>
          <w:lang w:val="en-GB" w:eastAsia="en-GB"/>
        </w:rPr>
      </w:pPr>
      <w:r>
        <w:rPr>
          <w:b/>
          <w:sz w:val="20"/>
          <w:szCs w:val="20"/>
          <w:lang w:val="en-GB" w:eastAsia="en-GB"/>
        </w:rPr>
        <w:tab/>
      </w:r>
      <w:r>
        <w:rPr>
          <w:b/>
          <w:sz w:val="20"/>
          <w:szCs w:val="20"/>
          <w:lang w:val="en-GB" w:eastAsia="en-GB"/>
        </w:rPr>
        <w:tab/>
      </w:r>
      <w:r>
        <w:rPr>
          <w:b/>
          <w:sz w:val="20"/>
          <w:szCs w:val="20"/>
          <w:lang w:val="en-GB" w:eastAsia="en-GB"/>
        </w:rPr>
        <w:tab/>
      </w:r>
      <w:r>
        <w:rPr>
          <w:b/>
          <w:sz w:val="20"/>
          <w:szCs w:val="20"/>
          <w:lang w:val="en-GB" w:eastAsia="en-GB"/>
        </w:rPr>
        <w:tab/>
      </w:r>
      <w:r w:rsidRPr="00FB1127">
        <w:rPr>
          <w:b/>
          <w:sz w:val="20"/>
          <w:szCs w:val="20"/>
          <w:lang w:val="en-GB" w:eastAsia="en-GB"/>
        </w:rPr>
        <w:t>Source: House of Commons Library (2024)</w:t>
      </w:r>
    </w:p>
    <w:p w14:paraId="49C7C540" w14:textId="15E28192" w:rsidR="00E75BDC" w:rsidRPr="00E75BDC" w:rsidRDefault="00E75BDC" w:rsidP="00E75BDC">
      <w:pPr>
        <w:pStyle w:val="Heading2"/>
      </w:pPr>
      <w:r w:rsidRPr="00E75BDC">
        <w:t xml:space="preserve">Maintaining Access to Cash </w:t>
      </w:r>
      <w:r w:rsidR="00F67E33">
        <w:t>Services</w:t>
      </w:r>
    </w:p>
    <w:p w14:paraId="3267243C" w14:textId="3E04AA16" w:rsidR="00E75BDC" w:rsidRPr="00E75BDC" w:rsidRDefault="00E75BDC" w:rsidP="00E75BDC">
      <w:r>
        <w:t>This section</w:t>
      </w:r>
      <w:r w:rsidR="00147EB0">
        <w:t xml:space="preserve"> </w:t>
      </w:r>
      <w:r w:rsidR="00147EB0" w:rsidRPr="00147EB0">
        <w:rPr>
          <w:lang w:val="en-GB"/>
        </w:rPr>
        <w:t xml:space="preserve">discusses legislative attempts </w:t>
      </w:r>
      <w:r w:rsidR="002F28F2">
        <w:rPr>
          <w:lang w:val="en-GB"/>
        </w:rPr>
        <w:t xml:space="preserve">in recent years that have aimed </w:t>
      </w:r>
      <w:r w:rsidR="00147EB0" w:rsidRPr="00147EB0">
        <w:rPr>
          <w:lang w:val="en-GB"/>
        </w:rPr>
        <w:t xml:space="preserve">to maintain </w:t>
      </w:r>
      <w:r w:rsidR="00F67E33">
        <w:rPr>
          <w:lang w:val="en-GB"/>
        </w:rPr>
        <w:t xml:space="preserve">access to </w:t>
      </w:r>
      <w:r w:rsidR="00147EB0" w:rsidRPr="00147EB0">
        <w:rPr>
          <w:lang w:val="en-GB"/>
        </w:rPr>
        <w:t>cash services across the United Kingdom</w:t>
      </w:r>
      <w:r w:rsidR="002F28F2">
        <w:rPr>
          <w:lang w:val="en-GB"/>
        </w:rPr>
        <w:t xml:space="preserve">.  It also </w:t>
      </w:r>
      <w:r w:rsidR="00147EB0" w:rsidRPr="00147EB0">
        <w:rPr>
          <w:lang w:val="en-GB"/>
        </w:rPr>
        <w:t>considers the role of banking hubs, credit unions and community banks in this regard</w:t>
      </w:r>
      <w:r w:rsidR="00147EB0">
        <w:rPr>
          <w:lang w:val="en-GB"/>
        </w:rPr>
        <w:t>.</w:t>
      </w:r>
    </w:p>
    <w:p w14:paraId="3A8582D5" w14:textId="130B619F" w:rsidR="000B4788" w:rsidRPr="00E75BDC" w:rsidRDefault="00855A62" w:rsidP="00E75BDC">
      <w:pPr>
        <w:pStyle w:val="Heading3"/>
      </w:pPr>
      <w:r w:rsidRPr="00E75BDC">
        <w:t>Legislation to Protect Access to Cash</w:t>
      </w:r>
      <w:r w:rsidR="00F67E33">
        <w:t xml:space="preserve"> Services</w:t>
      </w:r>
    </w:p>
    <w:p w14:paraId="2EF902D1" w14:textId="77777777" w:rsidR="00E75BDC" w:rsidRPr="00E75BDC" w:rsidRDefault="00E75BDC" w:rsidP="00E75BDC">
      <w:pPr>
        <w:rPr>
          <w:lang w:eastAsia="en-GB"/>
        </w:rPr>
      </w:pPr>
      <w:r w:rsidRPr="00E75BDC">
        <w:rPr>
          <w:lang w:eastAsia="en-GB"/>
        </w:rPr>
        <w:t xml:space="preserve">The </w:t>
      </w:r>
      <w:hyperlink r:id="rId31" w:history="1">
        <w:r w:rsidRPr="00E75BDC">
          <w:rPr>
            <w:rStyle w:val="Hyperlink"/>
            <w:lang w:eastAsia="en-GB"/>
          </w:rPr>
          <w:t>Financial Services and Markets Act 2023 (FSMA 2023)</w:t>
        </w:r>
      </w:hyperlink>
      <w:r w:rsidRPr="00E75BDC">
        <w:rPr>
          <w:lang w:eastAsia="en-GB"/>
        </w:rPr>
        <w:t xml:space="preserve"> received Royal Assent on 29 June 2023. Schedule 8 and Schedule 9 of the Act give the FCA and the Bank of England powers to regulate retail cash access and wholesale cash distribution respectively. The FCA describes FSMA 2023 as follows:</w:t>
      </w:r>
      <w:r w:rsidRPr="00E75BDC">
        <w:rPr>
          <w:vertAlign w:val="superscript"/>
          <w:lang w:eastAsia="en-GB"/>
        </w:rPr>
        <w:footnoteReference w:id="23"/>
      </w:r>
    </w:p>
    <w:p w14:paraId="21EDD2CF" w14:textId="77777777" w:rsidR="00E75BDC" w:rsidRPr="00E75BDC" w:rsidRDefault="00E75BDC" w:rsidP="00210628">
      <w:pPr>
        <w:ind w:left="1191" w:right="1191"/>
        <w:rPr>
          <w:i/>
          <w:lang w:eastAsia="en-GB"/>
        </w:rPr>
      </w:pPr>
      <w:r w:rsidRPr="00E75BDC">
        <w:rPr>
          <w:i/>
          <w:lang w:eastAsia="en-GB"/>
        </w:rPr>
        <w:lastRenderedPageBreak/>
        <w:t xml:space="preserve">It [FSMA 2023] gave us a new remit and powers for the purpose of ‘seeking to ensure reasonable provision’ of cash access services, meaning cash deposit and withdrawal services for personal and business current accounts. This includes access to both notes and coins, and access that is free of charge for consumers with personal current accounts. </w:t>
      </w:r>
    </w:p>
    <w:p w14:paraId="3BBD2298" w14:textId="77777777" w:rsidR="00E75BDC" w:rsidRPr="00E75BDC" w:rsidRDefault="00E75BDC" w:rsidP="00E75BDC">
      <w:pPr>
        <w:rPr>
          <w:b/>
          <w:lang w:eastAsia="en-GB"/>
        </w:rPr>
      </w:pPr>
      <w:r w:rsidRPr="00E75BDC">
        <w:rPr>
          <w:b/>
          <w:lang w:eastAsia="en-GB"/>
        </w:rPr>
        <w:t>FCA rules on cash access</w:t>
      </w:r>
    </w:p>
    <w:p w14:paraId="61E5016D" w14:textId="7F1AB14F" w:rsidR="00E75BDC" w:rsidRPr="00E75BDC" w:rsidRDefault="00E75BDC" w:rsidP="00E75BDC">
      <w:pPr>
        <w:rPr>
          <w:lang w:eastAsia="en-GB"/>
        </w:rPr>
      </w:pPr>
      <w:r w:rsidRPr="00E75BDC">
        <w:rPr>
          <w:lang w:eastAsia="en-GB"/>
        </w:rPr>
        <w:t xml:space="preserve">The new FCA rules under FMSA 2023 came into force on 18 September 2024. Firms designated by the government (the largest banks and building societies) are now required to conduct local cash access assessments </w:t>
      </w:r>
      <w:r w:rsidR="005A2E74">
        <w:rPr>
          <w:lang w:eastAsia="en-GB"/>
        </w:rPr>
        <w:t xml:space="preserve">before closing </w:t>
      </w:r>
      <w:r w:rsidR="005C4C6C">
        <w:rPr>
          <w:lang w:eastAsia="en-GB"/>
        </w:rPr>
        <w:t>branch</w:t>
      </w:r>
      <w:r w:rsidR="005A2E74">
        <w:rPr>
          <w:lang w:eastAsia="en-GB"/>
        </w:rPr>
        <w:t>es</w:t>
      </w:r>
      <w:r w:rsidR="002F28F2">
        <w:rPr>
          <w:lang w:eastAsia="en-GB"/>
        </w:rPr>
        <w:t xml:space="preserve"> and</w:t>
      </w:r>
      <w:r w:rsidRPr="00E75BDC">
        <w:rPr>
          <w:lang w:eastAsia="en-GB"/>
        </w:rPr>
        <w:t xml:space="preserve"> specifically</w:t>
      </w:r>
      <w:r w:rsidR="005A2E74">
        <w:rPr>
          <w:lang w:eastAsia="en-GB"/>
        </w:rPr>
        <w:t xml:space="preserve"> outlin</w:t>
      </w:r>
      <w:r w:rsidR="002F28F2">
        <w:rPr>
          <w:lang w:eastAsia="en-GB"/>
        </w:rPr>
        <w:t>e</w:t>
      </w:r>
      <w:r w:rsidRPr="00E75BDC">
        <w:rPr>
          <w:lang w:eastAsia="en-GB"/>
        </w:rPr>
        <w:t xml:space="preserve">: </w:t>
      </w:r>
    </w:p>
    <w:p w14:paraId="29749521" w14:textId="2FE945B4" w:rsidR="00E75BDC" w:rsidRPr="00E75BDC" w:rsidRDefault="002F28F2" w:rsidP="005C4C6C">
      <w:pPr>
        <w:pStyle w:val="NormalBulletList"/>
        <w:rPr>
          <w:lang w:eastAsia="en-GB"/>
        </w:rPr>
      </w:pPr>
      <w:r>
        <w:rPr>
          <w:lang w:eastAsia="en-GB"/>
        </w:rPr>
        <w:t>t</w:t>
      </w:r>
      <w:r w:rsidR="00E75BDC" w:rsidRPr="00E75BDC">
        <w:rPr>
          <w:lang w:eastAsia="en-GB"/>
        </w:rPr>
        <w:t>he</w:t>
      </w:r>
      <w:r>
        <w:rPr>
          <w:lang w:eastAsia="en-GB"/>
        </w:rPr>
        <w:t xml:space="preserve"> firm’s </w:t>
      </w:r>
      <w:r w:rsidR="00E75BDC" w:rsidRPr="00E75BDC">
        <w:rPr>
          <w:lang w:eastAsia="en-GB"/>
        </w:rPr>
        <w:t>decision to close a cash facility, or materially reduce cash access</w:t>
      </w:r>
    </w:p>
    <w:p w14:paraId="7889E75B" w14:textId="77777777" w:rsidR="00E75BDC" w:rsidRPr="00E75BDC" w:rsidRDefault="00E75BDC" w:rsidP="005C4C6C">
      <w:pPr>
        <w:pStyle w:val="NormalBulletList"/>
        <w:rPr>
          <w:lang w:eastAsia="en-GB"/>
        </w:rPr>
      </w:pPr>
      <w:r w:rsidRPr="00E75BDC">
        <w:rPr>
          <w:lang w:eastAsia="en-GB"/>
        </w:rPr>
        <w:t xml:space="preserve"> a non-designated person’s decision to close a cash facility, or materially reduce cash access (such as an independent ATM deployer removing an ATM) </w:t>
      </w:r>
    </w:p>
    <w:p w14:paraId="5D7D7C20" w14:textId="77777777" w:rsidR="00E75BDC" w:rsidRPr="00E75BDC" w:rsidRDefault="00E75BDC" w:rsidP="005C4C6C">
      <w:pPr>
        <w:pStyle w:val="NormalBulletList"/>
        <w:rPr>
          <w:lang w:eastAsia="en-GB"/>
        </w:rPr>
      </w:pPr>
      <w:r w:rsidRPr="00E75BDC">
        <w:rPr>
          <w:lang w:eastAsia="en-GB"/>
        </w:rPr>
        <w:t>a cash access request from the public.</w:t>
      </w:r>
    </w:p>
    <w:p w14:paraId="320FD162" w14:textId="4379D599" w:rsidR="00E75BDC" w:rsidRDefault="00E75BDC" w:rsidP="00E75BDC">
      <w:pPr>
        <w:rPr>
          <w:lang w:eastAsia="en-GB"/>
        </w:rPr>
      </w:pPr>
      <w:r w:rsidRPr="00E75BDC">
        <w:rPr>
          <w:lang w:eastAsia="en-GB"/>
        </w:rPr>
        <w:t xml:space="preserve">The local cash access assessments </w:t>
      </w:r>
      <w:r w:rsidR="002F28F2">
        <w:rPr>
          <w:lang w:eastAsia="en-GB"/>
        </w:rPr>
        <w:t>are to examine</w:t>
      </w:r>
      <w:r w:rsidRPr="00E75BDC">
        <w:rPr>
          <w:lang w:eastAsia="en-GB"/>
        </w:rPr>
        <w:t xml:space="preserve"> what facilities are available within the area, and the impact of service closures. These assessment processes </w:t>
      </w:r>
      <w:r w:rsidR="002F28F2">
        <w:rPr>
          <w:lang w:eastAsia="en-GB"/>
        </w:rPr>
        <w:t xml:space="preserve">are to </w:t>
      </w:r>
      <w:r w:rsidRPr="00E75BDC">
        <w:rPr>
          <w:lang w:eastAsia="en-GB"/>
        </w:rPr>
        <w:t>be approved in advance by the FCA.</w:t>
      </w:r>
      <w:r w:rsidRPr="00E75BDC">
        <w:rPr>
          <w:vertAlign w:val="superscript"/>
          <w:lang w:eastAsia="en-GB"/>
        </w:rPr>
        <w:footnoteReference w:id="24"/>
      </w:r>
      <w:r w:rsidRPr="00E75BDC">
        <w:rPr>
          <w:lang w:eastAsia="en-GB"/>
        </w:rPr>
        <w:t xml:space="preserve"> Where the assessments find an additional service is required, firms must implement this before closing the existing service or within set timeframes and inform consumers.</w:t>
      </w:r>
    </w:p>
    <w:p w14:paraId="135D0B0B" w14:textId="6FFCE74B" w:rsidR="005A2E74" w:rsidRDefault="005A2E74" w:rsidP="00E75BDC">
      <w:pPr>
        <w:rPr>
          <w:lang w:eastAsia="en-GB"/>
        </w:rPr>
      </w:pPr>
      <w:r>
        <w:rPr>
          <w:lang w:eastAsia="en-GB"/>
        </w:rPr>
        <w:t>His Majesty’s</w:t>
      </w:r>
      <w:r w:rsidRPr="005A2E74">
        <w:rPr>
          <w:lang w:eastAsia="en-GB"/>
        </w:rPr>
        <w:t xml:space="preserve"> Treasury </w:t>
      </w:r>
      <w:r>
        <w:rPr>
          <w:lang w:eastAsia="en-GB"/>
        </w:rPr>
        <w:t xml:space="preserve">(the Treasury) </w:t>
      </w:r>
      <w:r w:rsidRPr="005A2E74">
        <w:rPr>
          <w:lang w:eastAsia="en-GB"/>
        </w:rPr>
        <w:t>is required by Schedule 8 of FSMA 2023 to publish a Cash Access Policy Statement</w:t>
      </w:r>
      <w:r w:rsidR="002F28F2">
        <w:rPr>
          <w:lang w:eastAsia="en-GB"/>
        </w:rPr>
        <w:t>,</w:t>
      </w:r>
      <w:r w:rsidRPr="005A2E74">
        <w:rPr>
          <w:lang w:eastAsia="en-GB"/>
        </w:rPr>
        <w:t xml:space="preserve"> which the FCA must consider when using its powers to ensure reasonable provision of cash access. </w:t>
      </w:r>
      <w:r w:rsidR="00E34B14">
        <w:rPr>
          <w:lang w:eastAsia="en-GB"/>
        </w:rPr>
        <w:t xml:space="preserve">In </w:t>
      </w:r>
      <w:r w:rsidRPr="005A2E74">
        <w:rPr>
          <w:lang w:eastAsia="en-GB"/>
        </w:rPr>
        <w:t>August 2023, the Treasury published its Cash Access Policy Statement</w:t>
      </w:r>
      <w:r w:rsidR="002F28F2">
        <w:rPr>
          <w:lang w:eastAsia="en-GB"/>
        </w:rPr>
        <w:t>,</w:t>
      </w:r>
      <w:r w:rsidRPr="005A2E74">
        <w:rPr>
          <w:lang w:eastAsia="en-GB"/>
        </w:rPr>
        <w:t xml:space="preserve"> </w:t>
      </w:r>
      <w:r>
        <w:rPr>
          <w:lang w:eastAsia="en-GB"/>
        </w:rPr>
        <w:t>stating</w:t>
      </w:r>
      <w:r w:rsidRPr="005A2E74">
        <w:rPr>
          <w:lang w:eastAsia="en-GB"/>
        </w:rPr>
        <w:t>:</w:t>
      </w:r>
      <w:r w:rsidR="00E34B14">
        <w:rPr>
          <w:rStyle w:val="FootnoteReference"/>
          <w:lang w:eastAsia="en-GB"/>
        </w:rPr>
        <w:footnoteReference w:id="25"/>
      </w:r>
    </w:p>
    <w:p w14:paraId="667C4D8D" w14:textId="5872CD5F" w:rsidR="005A2E74" w:rsidRDefault="005A2E74" w:rsidP="005A2E74">
      <w:pPr>
        <w:ind w:left="1191" w:right="1191"/>
        <w:rPr>
          <w:i/>
          <w:iCs/>
          <w:lang w:eastAsia="en-GB"/>
        </w:rPr>
      </w:pPr>
      <w:r w:rsidRPr="005A2E74">
        <w:rPr>
          <w:lang w:eastAsia="en-GB"/>
        </w:rPr>
        <w:lastRenderedPageBreak/>
        <w:t xml:space="preserve"> </w:t>
      </w:r>
      <w:r w:rsidRPr="005A2E74">
        <w:rPr>
          <w:i/>
          <w:iCs/>
          <w:lang w:eastAsia="en-GB"/>
        </w:rPr>
        <w:t>FCA analysis has found that at least 95% of people in “predominantly urban areas” of the UK live within one mile of cash deposit and withdrawal services. At least 95% of people in “predominantly rural areas” live within three miles of such services. The new arrangements would aim to maintain that situation but would also take account of such factors as hours of availability of cash services, travel and geographic factors, and demographic information relating to vulnerability.</w:t>
      </w:r>
    </w:p>
    <w:p w14:paraId="473DA528" w14:textId="4065F14B" w:rsidR="00E34B14" w:rsidRDefault="00E34B14" w:rsidP="00E34B14">
      <w:pPr>
        <w:rPr>
          <w:lang w:eastAsia="en-GB"/>
        </w:rPr>
      </w:pPr>
      <w:r>
        <w:rPr>
          <w:lang w:eastAsia="en-GB"/>
        </w:rPr>
        <w:t>In summary, under FSMA 2023, the FCA now have the power to ensure that banks and building societies:</w:t>
      </w:r>
    </w:p>
    <w:p w14:paraId="01B3B3A2" w14:textId="77777777" w:rsidR="00E34B14" w:rsidRPr="00E34B14" w:rsidRDefault="00E34B14" w:rsidP="00E34B14">
      <w:pPr>
        <w:pStyle w:val="NormalBulletList"/>
        <w:rPr>
          <w:lang w:val="en-GB" w:eastAsia="en-GB"/>
        </w:rPr>
      </w:pPr>
      <w:r w:rsidRPr="00E34B14">
        <w:rPr>
          <w:lang w:val="en-GB" w:eastAsia="en-GB"/>
        </w:rPr>
        <w:t>assess cash access and understand if additional services are needed, when changes are being made to local services  </w:t>
      </w:r>
    </w:p>
    <w:p w14:paraId="65FEFBEE" w14:textId="77777777" w:rsidR="00E34B14" w:rsidRPr="00E34B14" w:rsidRDefault="00E34B14" w:rsidP="00E34B14">
      <w:pPr>
        <w:pStyle w:val="NormalBulletList"/>
        <w:rPr>
          <w:lang w:val="en-GB" w:eastAsia="en-GB"/>
        </w:rPr>
      </w:pPr>
      <w:r w:rsidRPr="00E34B14">
        <w:rPr>
          <w:lang w:val="en-GB" w:eastAsia="en-GB"/>
        </w:rPr>
        <w:t>respond to local residents, community organisations and representative groups, who will be able to request an assessment of whether there are gaps in local cash access</w:t>
      </w:r>
    </w:p>
    <w:p w14:paraId="0213CE81" w14:textId="77777777" w:rsidR="00E34B14" w:rsidRPr="00E34B14" w:rsidRDefault="00E34B14" w:rsidP="00E34B14">
      <w:pPr>
        <w:pStyle w:val="NormalBulletList"/>
        <w:rPr>
          <w:lang w:val="en-GB" w:eastAsia="en-GB"/>
        </w:rPr>
      </w:pPr>
      <w:r w:rsidRPr="00E34B14">
        <w:rPr>
          <w:lang w:val="en-GB" w:eastAsia="en-GB"/>
        </w:rPr>
        <w:t>deliver reasonable additional cash services, where significant gaps are found</w:t>
      </w:r>
    </w:p>
    <w:p w14:paraId="4CE5EAB4" w14:textId="3201FD5C" w:rsidR="00E34B14" w:rsidRPr="00E34B14" w:rsidRDefault="00E34B14" w:rsidP="00E34B14">
      <w:pPr>
        <w:pStyle w:val="NormalBulletList"/>
        <w:rPr>
          <w:lang w:val="en-GB" w:eastAsia="en-GB"/>
        </w:rPr>
      </w:pPr>
      <w:r w:rsidRPr="00E34B14">
        <w:rPr>
          <w:lang w:val="en-GB" w:eastAsia="en-GB"/>
        </w:rPr>
        <w:t>keep facilities, including bank branches and ATMs, open until any additional cash services identified are available</w:t>
      </w:r>
      <w:r>
        <w:rPr>
          <w:lang w:val="en-GB" w:eastAsia="en-GB"/>
        </w:rPr>
        <w:t>.</w:t>
      </w:r>
    </w:p>
    <w:p w14:paraId="01B1CF9B" w14:textId="57CA705B" w:rsidR="00E34B14" w:rsidRDefault="005630CE" w:rsidP="00E34B14">
      <w:pPr>
        <w:rPr>
          <w:lang w:eastAsia="en-GB"/>
        </w:rPr>
      </w:pPr>
      <w:r>
        <w:rPr>
          <w:lang w:eastAsia="en-GB"/>
        </w:rPr>
        <w:t>According to the FCA, g</w:t>
      </w:r>
      <w:r w:rsidR="00E34B14" w:rsidRPr="00E34B14">
        <w:rPr>
          <w:lang w:eastAsia="en-GB"/>
        </w:rPr>
        <w:t>aps in cash access c</w:t>
      </w:r>
      <w:r w:rsidR="002F28F2">
        <w:rPr>
          <w:lang w:eastAsia="en-GB"/>
        </w:rPr>
        <w:t xml:space="preserve">an </w:t>
      </w:r>
      <w:r w:rsidR="00E34B14" w:rsidRPr="00E34B14">
        <w:rPr>
          <w:lang w:eastAsia="en-GB"/>
        </w:rPr>
        <w:t>be filled with a range of measures, including banking hubs, ATMs (including deposit ATMs) and Post Office facilities.</w:t>
      </w:r>
      <w:r>
        <w:rPr>
          <w:rStyle w:val="FootnoteReference"/>
          <w:lang w:eastAsia="en-GB"/>
        </w:rPr>
        <w:footnoteReference w:id="26"/>
      </w:r>
      <w:r w:rsidR="00E34B14" w:rsidRPr="00E34B14">
        <w:rPr>
          <w:lang w:eastAsia="en-GB"/>
        </w:rPr>
        <w:t xml:space="preserve"> </w:t>
      </w:r>
      <w:r w:rsidR="00562A3A">
        <w:rPr>
          <w:lang w:eastAsia="en-GB"/>
        </w:rPr>
        <w:t>It is important to note that u</w:t>
      </w:r>
      <w:r w:rsidR="00E34B14">
        <w:rPr>
          <w:lang w:eastAsia="en-GB"/>
        </w:rPr>
        <w:t>nder FSMA 2023, t</w:t>
      </w:r>
      <w:r w:rsidR="00E34B14" w:rsidRPr="00E34B14">
        <w:rPr>
          <w:lang w:eastAsia="en-GB"/>
        </w:rPr>
        <w:t xml:space="preserve">he FCAs </w:t>
      </w:r>
      <w:r w:rsidR="00562A3A">
        <w:rPr>
          <w:lang w:eastAsia="en-GB"/>
        </w:rPr>
        <w:t>do not have the power to</w:t>
      </w:r>
      <w:r w:rsidR="00E34B14" w:rsidRPr="00E34B14">
        <w:rPr>
          <w:lang w:eastAsia="en-GB"/>
        </w:rPr>
        <w:t xml:space="preserve"> prevent the closure of bank branches</w:t>
      </w:r>
      <w:r w:rsidR="00562A3A">
        <w:rPr>
          <w:lang w:eastAsia="en-GB"/>
        </w:rPr>
        <w:t xml:space="preserve">. However, the new rules </w:t>
      </w:r>
      <w:r w:rsidR="002F28F2">
        <w:rPr>
          <w:lang w:eastAsia="en-GB"/>
        </w:rPr>
        <w:t xml:space="preserve">require </w:t>
      </w:r>
      <w:r w:rsidR="00562A3A">
        <w:rPr>
          <w:lang w:eastAsia="en-GB"/>
        </w:rPr>
        <w:t>banks</w:t>
      </w:r>
      <w:r w:rsidR="002F28F2">
        <w:rPr>
          <w:lang w:eastAsia="en-GB"/>
        </w:rPr>
        <w:t xml:space="preserve"> to </w:t>
      </w:r>
      <w:r w:rsidR="00562A3A">
        <w:rPr>
          <w:lang w:eastAsia="en-GB"/>
        </w:rPr>
        <w:t xml:space="preserve">fully explain their decision to close, particularly in situations </w:t>
      </w:r>
      <w:r w:rsidR="00E34B14" w:rsidRPr="00E34B14">
        <w:rPr>
          <w:lang w:eastAsia="en-GB"/>
        </w:rPr>
        <w:t>where</w:t>
      </w:r>
      <w:r w:rsidR="00562A3A">
        <w:rPr>
          <w:lang w:eastAsia="en-GB"/>
        </w:rPr>
        <w:t>by</w:t>
      </w:r>
      <w:r w:rsidR="00E34B14" w:rsidRPr="00E34B14">
        <w:rPr>
          <w:lang w:eastAsia="en-GB"/>
        </w:rPr>
        <w:t xml:space="preserve"> closures </w:t>
      </w:r>
      <w:r w:rsidR="002F28F2">
        <w:rPr>
          <w:lang w:eastAsia="en-GB"/>
        </w:rPr>
        <w:t xml:space="preserve">will </w:t>
      </w:r>
      <w:r w:rsidR="00E34B14" w:rsidRPr="00E34B14">
        <w:rPr>
          <w:lang w:eastAsia="en-GB"/>
        </w:rPr>
        <w:t>leave significant gaps in local cash access.</w:t>
      </w:r>
    </w:p>
    <w:p w14:paraId="32375731" w14:textId="7AEED7AD" w:rsidR="002E4D31" w:rsidRDefault="009879A9" w:rsidP="00E75BDC">
      <w:pPr>
        <w:pStyle w:val="Heading3"/>
      </w:pPr>
      <w:r w:rsidRPr="00E75BDC">
        <w:t>Banking Hubs</w:t>
      </w:r>
    </w:p>
    <w:p w14:paraId="6A9DBFDC" w14:textId="20B13B77" w:rsidR="00562BDD" w:rsidRDefault="00562BDD" w:rsidP="00562BDD">
      <w:pPr>
        <w:rPr>
          <w:lang w:eastAsia="en-GB"/>
        </w:rPr>
      </w:pPr>
      <w:r>
        <w:rPr>
          <w:lang w:val="en-GB" w:eastAsia="en-GB"/>
        </w:rPr>
        <w:t xml:space="preserve">Banking Hubs in the United Kingdom are provided by </w:t>
      </w:r>
      <w:hyperlink r:id="rId32" w:history="1">
        <w:r w:rsidR="00532337" w:rsidRPr="00562BDD">
          <w:rPr>
            <w:rStyle w:val="Hyperlink"/>
            <w:lang w:eastAsia="en-GB"/>
          </w:rPr>
          <w:t>Cash Access UK</w:t>
        </w:r>
      </w:hyperlink>
      <w:r>
        <w:rPr>
          <w:lang w:eastAsia="en-GB"/>
        </w:rPr>
        <w:t>, a</w:t>
      </w:r>
      <w:r w:rsidR="00532337" w:rsidRPr="00562BDD">
        <w:rPr>
          <w:lang w:eastAsia="en-GB"/>
        </w:rPr>
        <w:t xml:space="preserve"> not-for-profit company owned and funded by nine major high street banking </w:t>
      </w:r>
      <w:r w:rsidR="00532337" w:rsidRPr="00562BDD">
        <w:rPr>
          <w:lang w:eastAsia="en-GB"/>
        </w:rPr>
        <w:lastRenderedPageBreak/>
        <w:t>providers</w:t>
      </w:r>
      <w:r w:rsidRPr="00562BDD">
        <w:rPr>
          <w:rFonts w:cs="Arial"/>
        </w:rPr>
        <w:t xml:space="preserve"> </w:t>
      </w:r>
      <w:r>
        <w:rPr>
          <w:rFonts w:cs="Arial"/>
        </w:rPr>
        <w:t>(</w:t>
      </w:r>
      <w:r w:rsidR="002F28F2">
        <w:rPr>
          <w:rFonts w:cs="Arial"/>
        </w:rPr>
        <w:t xml:space="preserve">those are </w:t>
      </w:r>
      <w:r w:rsidRPr="00562BDD">
        <w:rPr>
          <w:lang w:eastAsia="en-GB"/>
        </w:rPr>
        <w:t>Bank of Ireland UK, Barclays, Danske Bank, HSBC UK, Lloyds Banking Group, NatWest Group, Santander, TSB and Virgin Money</w:t>
      </w:r>
      <w:r>
        <w:rPr>
          <w:lang w:eastAsia="en-GB"/>
        </w:rPr>
        <w:t>).</w:t>
      </w:r>
    </w:p>
    <w:p w14:paraId="14DC41EF" w14:textId="7B2411F6" w:rsidR="00562BDD" w:rsidRDefault="00532337" w:rsidP="00562BDD">
      <w:pPr>
        <w:rPr>
          <w:lang w:val="en-GB" w:eastAsia="en-GB"/>
        </w:rPr>
      </w:pPr>
      <w:r w:rsidRPr="00562BDD">
        <w:rPr>
          <w:lang w:eastAsia="en-GB"/>
        </w:rPr>
        <w:t>Cash Access UK</w:t>
      </w:r>
      <w:r w:rsidR="00562BDD">
        <w:rPr>
          <w:lang w:val="en-GB" w:eastAsia="en-GB"/>
        </w:rPr>
        <w:t xml:space="preserve"> describe a banking hub as follows:</w:t>
      </w:r>
      <w:r w:rsidR="003A4CDC">
        <w:rPr>
          <w:rStyle w:val="FootnoteReference"/>
          <w:lang w:val="en-GB" w:eastAsia="en-GB"/>
        </w:rPr>
        <w:footnoteReference w:id="27"/>
      </w:r>
    </w:p>
    <w:p w14:paraId="194D5723" w14:textId="77777777" w:rsidR="00115D5B" w:rsidRDefault="00562BDD" w:rsidP="00562BDD">
      <w:pPr>
        <w:ind w:left="1191" w:right="1191"/>
        <w:rPr>
          <w:i/>
          <w:iCs/>
          <w:lang w:val="en-GB" w:eastAsia="en-GB"/>
        </w:rPr>
      </w:pPr>
      <w:r w:rsidRPr="00562BDD">
        <w:rPr>
          <w:i/>
          <w:iCs/>
          <w:lang w:val="en-GB" w:eastAsia="en-GB"/>
        </w:rPr>
        <w:t xml:space="preserve">.. a shared banking space on the high street. Hubs offer a counter service operated by the Post Office, where customers of all major banks and building societies can carry out regular cash transactions, Monday to Friday. </w:t>
      </w:r>
    </w:p>
    <w:p w14:paraId="58646116" w14:textId="682933A9" w:rsidR="00562BDD" w:rsidRDefault="002F28F2" w:rsidP="00115D5B">
      <w:pPr>
        <w:rPr>
          <w:lang w:val="en-GB" w:eastAsia="en-GB"/>
        </w:rPr>
      </w:pPr>
      <w:r>
        <w:rPr>
          <w:lang w:val="en-GB" w:eastAsia="en-GB"/>
        </w:rPr>
        <w:t>It further explains that h</w:t>
      </w:r>
      <w:r w:rsidR="00562BDD" w:rsidRPr="00562BDD">
        <w:rPr>
          <w:lang w:val="en-GB" w:eastAsia="en-GB"/>
        </w:rPr>
        <w:t xml:space="preserve">ubs also offer a </w:t>
      </w:r>
      <w:hyperlink r:id="rId33" w:history="1">
        <w:r w:rsidR="00562BDD" w:rsidRPr="00562A3A">
          <w:rPr>
            <w:rStyle w:val="Hyperlink"/>
            <w:lang w:val="en-GB" w:eastAsia="en-GB"/>
          </w:rPr>
          <w:t>Community Banker</w:t>
        </w:r>
      </w:hyperlink>
      <w:r w:rsidR="00562BDD" w:rsidRPr="00562BDD">
        <w:rPr>
          <w:lang w:val="en-GB" w:eastAsia="en-GB"/>
        </w:rPr>
        <w:t xml:space="preserve"> service where customers can talk to their own banking provider about more complicated banking issues. The Community Bankers work on rotation, with a different banking provider available on each day of the week. Community Bankers are usually provided by the banks or building society with the most customers in the local area.</w:t>
      </w:r>
    </w:p>
    <w:p w14:paraId="47F38239" w14:textId="4186702F" w:rsidR="00562BDD" w:rsidRDefault="00562BDD" w:rsidP="00562BDD">
      <w:pPr>
        <w:rPr>
          <w:lang w:val="en-GB" w:eastAsia="en-GB"/>
        </w:rPr>
      </w:pPr>
      <w:r>
        <w:rPr>
          <w:lang w:val="en-GB" w:eastAsia="en-GB"/>
        </w:rPr>
        <w:t>To create a banking hub, m</w:t>
      </w:r>
      <w:r w:rsidRPr="00562BDD">
        <w:rPr>
          <w:lang w:val="en-GB" w:eastAsia="en-GB"/>
        </w:rPr>
        <w:t>ember</w:t>
      </w:r>
      <w:r>
        <w:rPr>
          <w:lang w:val="en-GB" w:eastAsia="en-GB"/>
        </w:rPr>
        <w:t>s</w:t>
      </w:r>
      <w:r w:rsidRPr="00562BDD">
        <w:rPr>
          <w:lang w:val="en-GB" w:eastAsia="en-GB"/>
        </w:rPr>
        <w:t xml:space="preserve"> of the public</w:t>
      </w:r>
      <w:r>
        <w:rPr>
          <w:lang w:val="en-GB" w:eastAsia="en-GB"/>
        </w:rPr>
        <w:t xml:space="preserve"> or </w:t>
      </w:r>
      <w:r w:rsidRPr="00562BDD">
        <w:rPr>
          <w:lang w:val="en-GB" w:eastAsia="en-GB"/>
        </w:rPr>
        <w:t>community group</w:t>
      </w:r>
      <w:r>
        <w:rPr>
          <w:lang w:val="en-GB" w:eastAsia="en-GB"/>
        </w:rPr>
        <w:t xml:space="preserve">s </w:t>
      </w:r>
      <w:r w:rsidRPr="00562BDD">
        <w:rPr>
          <w:lang w:val="en-GB" w:eastAsia="en-GB"/>
        </w:rPr>
        <w:t xml:space="preserve">can ask </w:t>
      </w:r>
      <w:r w:rsidRPr="00E807FD">
        <w:rPr>
          <w:lang w:val="en-GB" w:eastAsia="en-GB"/>
        </w:rPr>
        <w:t>LINK, the organisation responsible for the U</w:t>
      </w:r>
      <w:r w:rsidR="00E807FD" w:rsidRPr="00E807FD">
        <w:rPr>
          <w:lang w:val="en-GB" w:eastAsia="en-GB"/>
        </w:rPr>
        <w:t xml:space="preserve">nited </w:t>
      </w:r>
      <w:r w:rsidRPr="00E807FD">
        <w:rPr>
          <w:lang w:val="en-GB" w:eastAsia="en-GB"/>
        </w:rPr>
        <w:t>K</w:t>
      </w:r>
      <w:r w:rsidR="00E807FD" w:rsidRPr="00E807FD">
        <w:rPr>
          <w:lang w:val="en-GB" w:eastAsia="en-GB"/>
        </w:rPr>
        <w:t>ingdom</w:t>
      </w:r>
      <w:r w:rsidRPr="00E807FD">
        <w:rPr>
          <w:lang w:val="en-GB" w:eastAsia="en-GB"/>
        </w:rPr>
        <w:t>'s ATM network</w:t>
      </w:r>
      <w:r w:rsidR="00E807FD">
        <w:rPr>
          <w:lang w:val="en-GB" w:eastAsia="en-GB"/>
        </w:rPr>
        <w:t>,</w:t>
      </w:r>
      <w:r w:rsidR="00E807FD" w:rsidRPr="00E807FD">
        <w:rPr>
          <w:lang w:val="en-GB" w:eastAsia="en-GB"/>
        </w:rPr>
        <w:t xml:space="preserve"> </w:t>
      </w:r>
      <w:r w:rsidR="00E807FD">
        <w:rPr>
          <w:lang w:val="en-GB" w:eastAsia="en-GB"/>
        </w:rPr>
        <w:t xml:space="preserve">to </w:t>
      </w:r>
      <w:r w:rsidRPr="00562BDD">
        <w:rPr>
          <w:lang w:val="en-GB" w:eastAsia="en-GB"/>
        </w:rPr>
        <w:t xml:space="preserve">review </w:t>
      </w:r>
      <w:r>
        <w:rPr>
          <w:lang w:val="en-GB" w:eastAsia="en-GB"/>
        </w:rPr>
        <w:t xml:space="preserve">their </w:t>
      </w:r>
      <w:r w:rsidRPr="00562BDD">
        <w:rPr>
          <w:lang w:val="en-GB" w:eastAsia="en-GB"/>
        </w:rPr>
        <w:t xml:space="preserve">community’s cash access needs. LINK </w:t>
      </w:r>
      <w:r w:rsidR="000D50A9">
        <w:rPr>
          <w:lang w:val="en-GB" w:eastAsia="en-GB"/>
        </w:rPr>
        <w:t xml:space="preserve">then </w:t>
      </w:r>
      <w:r w:rsidR="00E807FD">
        <w:rPr>
          <w:lang w:val="en-GB" w:eastAsia="en-GB"/>
        </w:rPr>
        <w:t>assess</w:t>
      </w:r>
      <w:r w:rsidR="000D50A9">
        <w:rPr>
          <w:lang w:val="en-GB" w:eastAsia="en-GB"/>
        </w:rPr>
        <w:t>es</w:t>
      </w:r>
      <w:r w:rsidRPr="00562BDD">
        <w:rPr>
          <w:lang w:val="en-GB" w:eastAsia="en-GB"/>
        </w:rPr>
        <w:t xml:space="preserve"> whether </w:t>
      </w:r>
      <w:r w:rsidR="00E807FD">
        <w:rPr>
          <w:lang w:val="en-GB" w:eastAsia="en-GB"/>
        </w:rPr>
        <w:t>the</w:t>
      </w:r>
      <w:r w:rsidRPr="00562BDD">
        <w:rPr>
          <w:lang w:val="en-GB" w:eastAsia="en-GB"/>
        </w:rPr>
        <w:t xml:space="preserve"> community needs a new cash service</w:t>
      </w:r>
      <w:r w:rsidR="00E807FD">
        <w:rPr>
          <w:lang w:val="en-GB" w:eastAsia="en-GB"/>
        </w:rPr>
        <w:t xml:space="preserve">, taking into consideration the </w:t>
      </w:r>
      <w:r w:rsidRPr="00562BDD">
        <w:rPr>
          <w:lang w:val="en-GB" w:eastAsia="en-GB"/>
        </w:rPr>
        <w:t xml:space="preserve">cash and banking services already available to the community. </w:t>
      </w:r>
      <w:r w:rsidR="00E807FD">
        <w:rPr>
          <w:lang w:val="en-GB" w:eastAsia="en-GB"/>
        </w:rPr>
        <w:t>They</w:t>
      </w:r>
      <w:r w:rsidR="000D50A9">
        <w:rPr>
          <w:lang w:val="en-GB" w:eastAsia="en-GB"/>
        </w:rPr>
        <w:t xml:space="preserve"> </w:t>
      </w:r>
      <w:r w:rsidRPr="00562BDD">
        <w:rPr>
          <w:lang w:val="en-GB" w:eastAsia="en-GB"/>
        </w:rPr>
        <w:t xml:space="preserve">also </w:t>
      </w:r>
      <w:r w:rsidR="00E807FD">
        <w:rPr>
          <w:lang w:val="en-GB" w:eastAsia="en-GB"/>
        </w:rPr>
        <w:t xml:space="preserve">consider </w:t>
      </w:r>
      <w:r w:rsidRPr="00562BDD">
        <w:rPr>
          <w:lang w:val="en-GB" w:eastAsia="en-GB"/>
        </w:rPr>
        <w:t>other factors</w:t>
      </w:r>
      <w:r w:rsidR="000D50A9">
        <w:rPr>
          <w:lang w:val="en-GB" w:eastAsia="en-GB"/>
        </w:rPr>
        <w:t>,</w:t>
      </w:r>
      <w:r w:rsidRPr="00562BDD">
        <w:rPr>
          <w:lang w:val="en-GB" w:eastAsia="en-GB"/>
        </w:rPr>
        <w:t xml:space="preserve"> including the community's size and age profile, the number of local businesses, the take-up of digital services and the number of people who are likely to rely on cash.</w:t>
      </w:r>
      <w:r w:rsidR="00E807FD">
        <w:rPr>
          <w:rStyle w:val="FootnoteReference"/>
          <w:lang w:val="en-GB" w:eastAsia="en-GB"/>
        </w:rPr>
        <w:footnoteReference w:id="28"/>
      </w:r>
    </w:p>
    <w:p w14:paraId="58E92D92" w14:textId="342E8E77" w:rsidR="00115D5B" w:rsidRPr="00115D5B" w:rsidRDefault="00115D5B" w:rsidP="00562BDD">
      <w:pPr>
        <w:rPr>
          <w:b/>
          <w:lang w:val="en-GB" w:eastAsia="en-GB"/>
        </w:rPr>
      </w:pPr>
      <w:r w:rsidRPr="00115D5B">
        <w:rPr>
          <w:b/>
          <w:lang w:val="en-GB" w:eastAsia="en-GB"/>
        </w:rPr>
        <w:t>Banking Hubs in Northern Ireland</w:t>
      </w:r>
    </w:p>
    <w:p w14:paraId="1335FDFB" w14:textId="46C29E6A" w:rsidR="00CE1A36" w:rsidRDefault="005946EF" w:rsidP="00CE1A36">
      <w:pPr>
        <w:rPr>
          <w:lang w:val="en-GB" w:eastAsia="en-GB"/>
        </w:rPr>
      </w:pPr>
      <w:r>
        <w:rPr>
          <w:lang w:val="en-GB" w:eastAsia="en-GB"/>
        </w:rPr>
        <w:t>In September 2024,</w:t>
      </w:r>
      <w:r w:rsidR="001F560B">
        <w:rPr>
          <w:lang w:val="en-GB" w:eastAsia="en-GB"/>
        </w:rPr>
        <w:t xml:space="preserve"> the Financial Times reported that United Kingdom banks had committed </w:t>
      </w:r>
      <w:r w:rsidR="001F560B" w:rsidRPr="001F560B">
        <w:rPr>
          <w:lang w:eastAsia="en-GB"/>
        </w:rPr>
        <w:t>to set up 350 banking hubs over the next five years</w:t>
      </w:r>
      <w:r w:rsidR="000D50A9">
        <w:rPr>
          <w:lang w:eastAsia="en-GB"/>
        </w:rPr>
        <w:t>,</w:t>
      </w:r>
      <w:r w:rsidR="001F560B" w:rsidRPr="001F560B">
        <w:rPr>
          <w:lang w:eastAsia="en-GB"/>
        </w:rPr>
        <w:t xml:space="preserve"> provid</w:t>
      </w:r>
      <w:r w:rsidR="000D50A9">
        <w:rPr>
          <w:lang w:eastAsia="en-GB"/>
        </w:rPr>
        <w:t>ing</w:t>
      </w:r>
      <w:r w:rsidR="001F560B" w:rsidRPr="001F560B">
        <w:rPr>
          <w:lang w:eastAsia="en-GB"/>
        </w:rPr>
        <w:t xml:space="preserve"> face-to-face high street services </w:t>
      </w:r>
      <w:r w:rsidR="001F560B">
        <w:rPr>
          <w:lang w:eastAsia="en-GB"/>
        </w:rPr>
        <w:t xml:space="preserve">following the </w:t>
      </w:r>
      <w:r w:rsidR="001F560B" w:rsidRPr="001F560B">
        <w:rPr>
          <w:lang w:eastAsia="en-GB"/>
        </w:rPr>
        <w:t>closures of local branches.</w:t>
      </w:r>
      <w:r w:rsidR="001F560B">
        <w:rPr>
          <w:rStyle w:val="FootnoteReference"/>
          <w:lang w:eastAsia="en-GB"/>
        </w:rPr>
        <w:footnoteReference w:id="29"/>
      </w:r>
      <w:r w:rsidR="001F560B">
        <w:rPr>
          <w:lang w:val="en-GB" w:eastAsia="en-GB"/>
        </w:rPr>
        <w:t xml:space="preserve">  Also in September 2024, </w:t>
      </w:r>
      <w:r>
        <w:rPr>
          <w:lang w:val="en-GB" w:eastAsia="en-GB"/>
        </w:rPr>
        <w:t>LINK announced 15 new banking hubs across the Uni</w:t>
      </w:r>
      <w:r w:rsidR="001F560B">
        <w:rPr>
          <w:lang w:val="en-GB" w:eastAsia="en-GB"/>
        </w:rPr>
        <w:t>t</w:t>
      </w:r>
      <w:r>
        <w:rPr>
          <w:lang w:val="en-GB" w:eastAsia="en-GB"/>
        </w:rPr>
        <w:t xml:space="preserve">ed </w:t>
      </w:r>
      <w:r>
        <w:rPr>
          <w:lang w:val="en-GB" w:eastAsia="en-GB"/>
        </w:rPr>
        <w:lastRenderedPageBreak/>
        <w:t xml:space="preserve">Kingdom. </w:t>
      </w:r>
      <w:r w:rsidR="000D50A9">
        <w:rPr>
          <w:lang w:val="en-GB" w:eastAsia="en-GB"/>
        </w:rPr>
        <w:t>Once implemented, that will increase</w:t>
      </w:r>
      <w:r>
        <w:rPr>
          <w:lang w:val="en-GB" w:eastAsia="en-GB"/>
        </w:rPr>
        <w:t xml:space="preserve"> the total number of planned hubs to 162</w:t>
      </w:r>
      <w:r w:rsidR="000D50A9">
        <w:rPr>
          <w:lang w:val="en-GB" w:eastAsia="en-GB"/>
        </w:rPr>
        <w:t>,</w:t>
      </w:r>
      <w:r>
        <w:rPr>
          <w:lang w:val="en-GB" w:eastAsia="en-GB"/>
        </w:rPr>
        <w:t xml:space="preserve"> with 76 already open.</w:t>
      </w:r>
      <w:r>
        <w:rPr>
          <w:rStyle w:val="FootnoteReference"/>
          <w:lang w:val="en-GB" w:eastAsia="en-GB"/>
        </w:rPr>
        <w:footnoteReference w:id="30"/>
      </w:r>
      <w:r>
        <w:rPr>
          <w:lang w:val="en-GB" w:eastAsia="en-GB"/>
        </w:rPr>
        <w:t xml:space="preserve"> </w:t>
      </w:r>
      <w:r w:rsidR="00CE1A36">
        <w:rPr>
          <w:lang w:val="en-GB" w:eastAsia="en-GB"/>
        </w:rPr>
        <w:t>In Northern Ireland</w:t>
      </w:r>
      <w:r w:rsidR="003A4CDC">
        <w:rPr>
          <w:lang w:val="en-GB" w:eastAsia="en-GB"/>
        </w:rPr>
        <w:t>,</w:t>
      </w:r>
      <w:r w:rsidR="00CE1A36">
        <w:rPr>
          <w:lang w:val="en-GB" w:eastAsia="en-GB"/>
        </w:rPr>
        <w:t xml:space="preserve"> banking hubs are planned in Ki</w:t>
      </w:r>
      <w:r w:rsidR="00CE1A36" w:rsidRPr="00CE1A36">
        <w:rPr>
          <w:lang w:val="en-GB" w:eastAsia="en-GB"/>
        </w:rPr>
        <w:t>lkeel</w:t>
      </w:r>
      <w:r w:rsidR="00CE1A36">
        <w:rPr>
          <w:lang w:val="en-GB" w:eastAsia="en-GB"/>
        </w:rPr>
        <w:t xml:space="preserve">, </w:t>
      </w:r>
      <w:r w:rsidR="00CE1A36" w:rsidRPr="00CE1A36">
        <w:rPr>
          <w:lang w:val="en-GB" w:eastAsia="en-GB"/>
        </w:rPr>
        <w:t>Newcastle</w:t>
      </w:r>
      <w:r w:rsidR="00CE1A36">
        <w:rPr>
          <w:lang w:val="en-GB" w:eastAsia="en-GB"/>
        </w:rPr>
        <w:t xml:space="preserve">, </w:t>
      </w:r>
      <w:r w:rsidR="00CE1A36" w:rsidRPr="00CE1A36">
        <w:rPr>
          <w:lang w:val="en-GB" w:eastAsia="en-GB"/>
        </w:rPr>
        <w:t>Comber</w:t>
      </w:r>
      <w:r w:rsidR="00CE1A36">
        <w:rPr>
          <w:lang w:val="en-GB" w:eastAsia="en-GB"/>
        </w:rPr>
        <w:t xml:space="preserve">, </w:t>
      </w:r>
      <w:r w:rsidR="00CE1A36" w:rsidRPr="00CE1A36">
        <w:rPr>
          <w:lang w:val="en-GB" w:eastAsia="en-GB"/>
        </w:rPr>
        <w:t>Warrenpoint</w:t>
      </w:r>
      <w:r w:rsidR="00CE1A36">
        <w:rPr>
          <w:lang w:val="en-GB" w:eastAsia="en-GB"/>
        </w:rPr>
        <w:t xml:space="preserve"> and </w:t>
      </w:r>
      <w:r w:rsidR="00CE1A36" w:rsidRPr="00CE1A36">
        <w:rPr>
          <w:lang w:val="en-GB" w:eastAsia="en-GB"/>
        </w:rPr>
        <w:t>Portrush</w:t>
      </w:r>
      <w:r w:rsidR="00CE1A36">
        <w:rPr>
          <w:lang w:val="en-GB" w:eastAsia="en-GB"/>
        </w:rPr>
        <w:t xml:space="preserve">. </w:t>
      </w:r>
      <w:r w:rsidR="001A596C">
        <w:rPr>
          <w:lang w:val="en-GB" w:eastAsia="en-GB"/>
        </w:rPr>
        <w:t>However, a</w:t>
      </w:r>
      <w:r w:rsidR="00CE1A36">
        <w:rPr>
          <w:lang w:val="en-GB" w:eastAsia="en-GB"/>
        </w:rPr>
        <w:t>t the time of writing</w:t>
      </w:r>
      <w:r w:rsidR="000D50A9">
        <w:rPr>
          <w:lang w:val="en-GB" w:eastAsia="en-GB"/>
        </w:rPr>
        <w:t>,</w:t>
      </w:r>
      <w:r w:rsidR="00CE1A36">
        <w:rPr>
          <w:lang w:val="en-GB" w:eastAsia="en-GB"/>
        </w:rPr>
        <w:t xml:space="preserve"> only the </w:t>
      </w:r>
      <w:proofErr w:type="spellStart"/>
      <w:r w:rsidR="00CE1A36">
        <w:rPr>
          <w:lang w:val="en-GB" w:eastAsia="en-GB"/>
        </w:rPr>
        <w:t>Kilkeel</w:t>
      </w:r>
      <w:proofErr w:type="spellEnd"/>
      <w:r w:rsidR="00A15DBC">
        <w:rPr>
          <w:lang w:val="en-GB" w:eastAsia="en-GB"/>
        </w:rPr>
        <w:t xml:space="preserve"> and Portrush </w:t>
      </w:r>
      <w:r w:rsidR="00CE1A36">
        <w:rPr>
          <w:lang w:val="en-GB" w:eastAsia="en-GB"/>
        </w:rPr>
        <w:t>hub</w:t>
      </w:r>
      <w:r w:rsidR="00A15DBC">
        <w:rPr>
          <w:lang w:val="en-GB" w:eastAsia="en-GB"/>
        </w:rPr>
        <w:t>s are</w:t>
      </w:r>
      <w:r w:rsidR="00CE1A36">
        <w:rPr>
          <w:lang w:val="en-GB" w:eastAsia="en-GB"/>
        </w:rPr>
        <w:t xml:space="preserve"> operational. The Committee may wish to </w:t>
      </w:r>
      <w:r w:rsidR="000D50A9">
        <w:rPr>
          <w:lang w:val="en-GB" w:eastAsia="en-GB"/>
        </w:rPr>
        <w:t xml:space="preserve">maintain a watching brief in this area, including, but not limited to, </w:t>
      </w:r>
      <w:r w:rsidR="00CE1A36">
        <w:rPr>
          <w:lang w:val="en-GB" w:eastAsia="en-GB"/>
        </w:rPr>
        <w:t>contact</w:t>
      </w:r>
      <w:r w:rsidR="000D50A9">
        <w:rPr>
          <w:lang w:val="en-GB" w:eastAsia="en-GB"/>
        </w:rPr>
        <w:t>ing</w:t>
      </w:r>
      <w:r w:rsidR="00CE1A36">
        <w:rPr>
          <w:lang w:val="en-GB" w:eastAsia="en-GB"/>
        </w:rPr>
        <w:t xml:space="preserve"> LINK to find out more information about the </w:t>
      </w:r>
      <w:r w:rsidR="0051042D">
        <w:rPr>
          <w:lang w:val="en-GB" w:eastAsia="en-GB"/>
        </w:rPr>
        <w:t xml:space="preserve">rollout of </w:t>
      </w:r>
      <w:r w:rsidR="00CE1A36">
        <w:rPr>
          <w:lang w:val="en-GB" w:eastAsia="en-GB"/>
        </w:rPr>
        <w:t>other proposed Northern Ireland hubs.</w:t>
      </w:r>
    </w:p>
    <w:p w14:paraId="21756C81" w14:textId="21C4BA91" w:rsidR="00380A43" w:rsidRPr="00CE1A36" w:rsidRDefault="00380A43" w:rsidP="00CE1A36">
      <w:pPr>
        <w:pStyle w:val="Heading3"/>
      </w:pPr>
      <w:r w:rsidRPr="00CE1A36">
        <w:t>Credit Unions, Mutual and Community Banks</w:t>
      </w:r>
    </w:p>
    <w:p w14:paraId="05DA1B1A" w14:textId="1FE934EC" w:rsidR="0051042D" w:rsidRDefault="0051042D" w:rsidP="00AB510D">
      <w:pPr>
        <w:rPr>
          <w:b/>
        </w:rPr>
      </w:pPr>
      <w:r>
        <w:rPr>
          <w:b/>
        </w:rPr>
        <w:t>Credit Unions</w:t>
      </w:r>
      <w:r w:rsidRPr="00115D5B">
        <w:rPr>
          <w:b/>
        </w:rPr>
        <w:t xml:space="preserve"> </w:t>
      </w:r>
    </w:p>
    <w:p w14:paraId="1CD7F36F" w14:textId="17DFF581" w:rsidR="00AB510D" w:rsidRPr="00AB510D" w:rsidRDefault="005F54C4" w:rsidP="00AB510D">
      <w:pPr>
        <w:rPr>
          <w:lang w:val="en-GB" w:eastAsia="en-GB"/>
        </w:rPr>
      </w:pPr>
      <w:r w:rsidRPr="005F54C4">
        <w:rPr>
          <w:lang w:val="en-GB" w:eastAsia="en-GB"/>
        </w:rPr>
        <w:t>Credit unions in Northern Ireland are authorised by the Prudential Regulation Authority, and regulated by the Financial Conduct Authority and the Prudential Regulation Authority.</w:t>
      </w:r>
      <w:r w:rsidR="00AB510D">
        <w:rPr>
          <w:lang w:val="en-GB" w:eastAsia="en-GB"/>
        </w:rPr>
        <w:t xml:space="preserve"> They</w:t>
      </w:r>
      <w:r w:rsidR="00AB510D" w:rsidRPr="00AB510D">
        <w:rPr>
          <w:lang w:val="en-GB" w:eastAsia="en-GB"/>
        </w:rPr>
        <w:t xml:space="preserve"> are not-for-profit</w:t>
      </w:r>
      <w:r w:rsidR="00AB510D">
        <w:rPr>
          <w:lang w:val="en-GB" w:eastAsia="en-GB"/>
        </w:rPr>
        <w:t xml:space="preserve"> </w:t>
      </w:r>
      <w:r w:rsidR="00AB510D" w:rsidRPr="00AB510D">
        <w:rPr>
          <w:lang w:val="en-GB" w:eastAsia="en-GB"/>
        </w:rPr>
        <w:t>financial cooperatives</w:t>
      </w:r>
      <w:r w:rsidR="0051042D">
        <w:rPr>
          <w:lang w:val="en-GB" w:eastAsia="en-GB"/>
        </w:rPr>
        <w:t>,</w:t>
      </w:r>
      <w:r w:rsidR="00AB510D" w:rsidRPr="00AB510D">
        <w:rPr>
          <w:lang w:val="en-GB" w:eastAsia="en-GB"/>
        </w:rPr>
        <w:t xml:space="preserve"> owned by all of their members. Members enjoy equal rights to vote (one member, one vote) and participate in decisions affecting the credit union.</w:t>
      </w:r>
      <w:r w:rsidR="00EF75BB">
        <w:rPr>
          <w:lang w:val="en-GB" w:eastAsia="en-GB"/>
        </w:rPr>
        <w:t xml:space="preserve"> </w:t>
      </w:r>
      <w:r w:rsidR="00AB510D" w:rsidRPr="00AB510D">
        <w:rPr>
          <w:lang w:val="en-GB" w:eastAsia="en-GB"/>
        </w:rPr>
        <w:t xml:space="preserve">Any surplus income generated by a credit union is used to develop the </w:t>
      </w:r>
      <w:r w:rsidR="00AB510D">
        <w:rPr>
          <w:lang w:val="en-GB" w:eastAsia="en-GB"/>
        </w:rPr>
        <w:t xml:space="preserve">its </w:t>
      </w:r>
      <w:r w:rsidR="00AB510D" w:rsidRPr="00AB510D">
        <w:rPr>
          <w:lang w:val="en-GB" w:eastAsia="en-GB"/>
        </w:rPr>
        <w:t>services</w:t>
      </w:r>
      <w:r w:rsidR="0051042D">
        <w:rPr>
          <w:lang w:val="en-GB" w:eastAsia="en-GB"/>
        </w:rPr>
        <w:t>,</w:t>
      </w:r>
      <w:r w:rsidR="00AB510D" w:rsidRPr="00AB510D">
        <w:rPr>
          <w:lang w:val="en-GB" w:eastAsia="en-GB"/>
        </w:rPr>
        <w:t xml:space="preserve"> or it is distributed among members in the form of dividends to savers or interest rebates to borrowers.</w:t>
      </w:r>
    </w:p>
    <w:p w14:paraId="2EC5EDDE" w14:textId="1E7BB823" w:rsidR="00AB510D" w:rsidRPr="00AB510D" w:rsidRDefault="00AB510D" w:rsidP="00AB510D">
      <w:pPr>
        <w:rPr>
          <w:lang w:val="en-GB" w:eastAsia="en-GB"/>
        </w:rPr>
      </w:pPr>
      <w:r w:rsidRPr="00AB510D">
        <w:rPr>
          <w:lang w:val="en-GB" w:eastAsia="en-GB"/>
        </w:rPr>
        <w:t>Loans and savings are insured at no direct cost to an eligible member. Credit unions offer flexibility regarding loan repayments. A loan can be paid back earlier without any penalties</w:t>
      </w:r>
      <w:r w:rsidR="0051042D">
        <w:rPr>
          <w:lang w:val="en-GB" w:eastAsia="en-GB"/>
        </w:rPr>
        <w:t>,</w:t>
      </w:r>
      <w:r w:rsidRPr="00AB510D">
        <w:rPr>
          <w:lang w:val="en-GB" w:eastAsia="en-GB"/>
        </w:rPr>
        <w:t xml:space="preserve"> or it can be restructured if there is a change in </w:t>
      </w:r>
      <w:r w:rsidR="0051042D">
        <w:rPr>
          <w:lang w:val="en-GB" w:eastAsia="en-GB"/>
        </w:rPr>
        <w:t xml:space="preserve">the </w:t>
      </w:r>
      <w:r w:rsidRPr="00AB510D">
        <w:rPr>
          <w:lang w:val="en-GB" w:eastAsia="en-GB"/>
        </w:rPr>
        <w:t>borrower's circumstances.</w:t>
      </w:r>
    </w:p>
    <w:p w14:paraId="7CD1C951" w14:textId="1B30BE1A" w:rsidR="00AB510D" w:rsidRDefault="00AB510D" w:rsidP="00AB510D">
      <w:pPr>
        <w:rPr>
          <w:lang w:val="en-GB" w:eastAsia="en-GB"/>
        </w:rPr>
      </w:pPr>
      <w:r w:rsidRPr="00AB510D">
        <w:rPr>
          <w:lang w:val="en-GB" w:eastAsia="en-GB"/>
        </w:rPr>
        <w:t>Credit unions offer a </w:t>
      </w:r>
      <w:hyperlink r:id="rId34" w:history="1">
        <w:r w:rsidRPr="00AB510D">
          <w:rPr>
            <w:rStyle w:val="Hyperlink"/>
            <w:lang w:val="en-GB" w:eastAsia="en-GB"/>
          </w:rPr>
          <w:t>nomination </w:t>
        </w:r>
      </w:hyperlink>
      <w:r w:rsidRPr="00AB510D">
        <w:rPr>
          <w:lang w:val="en-GB" w:eastAsia="en-GB"/>
        </w:rPr>
        <w:t>facility</w:t>
      </w:r>
      <w:r>
        <w:rPr>
          <w:lang w:val="en-GB" w:eastAsia="en-GB"/>
        </w:rPr>
        <w:t>, whereby m</w:t>
      </w:r>
      <w:r w:rsidRPr="00AB510D">
        <w:rPr>
          <w:lang w:val="en-GB" w:eastAsia="en-GB"/>
        </w:rPr>
        <w:t xml:space="preserve">embers over 16 years of age can nominate who is to receive the </w:t>
      </w:r>
      <w:r>
        <w:rPr>
          <w:lang w:val="en-GB" w:eastAsia="en-GB"/>
        </w:rPr>
        <w:t xml:space="preserve">money in </w:t>
      </w:r>
      <w:r w:rsidRPr="00AB510D">
        <w:rPr>
          <w:lang w:val="en-GB" w:eastAsia="en-GB"/>
        </w:rPr>
        <w:t xml:space="preserve">their accounts </w:t>
      </w:r>
      <w:r>
        <w:rPr>
          <w:lang w:val="en-GB" w:eastAsia="en-GB"/>
        </w:rPr>
        <w:t>u</w:t>
      </w:r>
      <w:r w:rsidRPr="00AB510D">
        <w:rPr>
          <w:lang w:val="en-GB" w:eastAsia="en-GB"/>
        </w:rPr>
        <w:t xml:space="preserve">pon death. Having a nomination means that </w:t>
      </w:r>
      <w:r>
        <w:rPr>
          <w:lang w:val="en-GB" w:eastAsia="en-GB"/>
        </w:rPr>
        <w:t>money</w:t>
      </w:r>
      <w:r w:rsidRPr="00AB510D">
        <w:rPr>
          <w:lang w:val="en-GB" w:eastAsia="en-GB"/>
        </w:rPr>
        <w:t xml:space="preserve"> </w:t>
      </w:r>
      <w:r w:rsidR="003A4CDC">
        <w:rPr>
          <w:lang w:val="en-GB" w:eastAsia="en-GB"/>
        </w:rPr>
        <w:t>remaining in such accounts</w:t>
      </w:r>
      <w:r w:rsidRPr="00AB510D">
        <w:rPr>
          <w:lang w:val="en-GB" w:eastAsia="en-GB"/>
        </w:rPr>
        <w:t xml:space="preserve"> (up to a maximum of €27,000 in Republic of Ireland or £20,000 in Northern Ireland) will not have to pass through probate or intestacy process. </w:t>
      </w:r>
      <w:r w:rsidRPr="00AB510D">
        <w:rPr>
          <w:b/>
          <w:bCs/>
          <w:lang w:val="en-GB" w:eastAsia="en-GB"/>
        </w:rPr>
        <w:t> </w:t>
      </w:r>
      <w:r w:rsidRPr="00AB510D">
        <w:rPr>
          <w:lang w:val="en-GB" w:eastAsia="en-GB"/>
        </w:rPr>
        <w:t xml:space="preserve">A credit union’s board of directors is </w:t>
      </w:r>
      <w:r w:rsidRPr="00AB510D">
        <w:rPr>
          <w:lang w:val="en-GB" w:eastAsia="en-GB"/>
        </w:rPr>
        <w:lastRenderedPageBreak/>
        <w:t xml:space="preserve">drawn from within the its membership base. Board members are democratically elected at each credit union’s AGM. </w:t>
      </w:r>
    </w:p>
    <w:p w14:paraId="63C86A56" w14:textId="77777777" w:rsidR="002E1211" w:rsidRPr="00115D5B" w:rsidRDefault="002E1211" w:rsidP="00115D5B">
      <w:pPr>
        <w:rPr>
          <w:b/>
        </w:rPr>
      </w:pPr>
      <w:r w:rsidRPr="00115D5B">
        <w:rPr>
          <w:b/>
        </w:rPr>
        <w:t>Mutual and Community Banks</w:t>
      </w:r>
    </w:p>
    <w:p w14:paraId="22740B96" w14:textId="612C6BB9" w:rsidR="00306687" w:rsidRPr="00306687" w:rsidRDefault="002E1211" w:rsidP="00306687">
      <w:pPr>
        <w:rPr>
          <w:lang w:val="en-GB" w:eastAsia="en-GB"/>
        </w:rPr>
      </w:pPr>
      <w:r>
        <w:rPr>
          <w:lang w:val="en-GB" w:eastAsia="en-GB"/>
        </w:rPr>
        <w:t>The terms “Mutual Banks” and “</w:t>
      </w:r>
      <w:r w:rsidR="00306687" w:rsidRPr="00306687">
        <w:rPr>
          <w:lang w:val="en-GB" w:eastAsia="en-GB"/>
        </w:rPr>
        <w:t>Community</w:t>
      </w:r>
      <w:r>
        <w:rPr>
          <w:lang w:val="en-GB" w:eastAsia="en-GB"/>
        </w:rPr>
        <w:t xml:space="preserve"> Banks”</w:t>
      </w:r>
      <w:r w:rsidR="00306687" w:rsidRPr="00306687">
        <w:rPr>
          <w:lang w:val="en-GB" w:eastAsia="en-GB"/>
        </w:rPr>
        <w:t xml:space="preserve"> </w:t>
      </w:r>
      <w:r>
        <w:rPr>
          <w:lang w:val="en-GB" w:eastAsia="en-GB"/>
        </w:rPr>
        <w:t xml:space="preserve">are </w:t>
      </w:r>
      <w:r w:rsidR="00D4168A">
        <w:rPr>
          <w:lang w:val="en-GB" w:eastAsia="en-GB"/>
        </w:rPr>
        <w:t xml:space="preserve">often </w:t>
      </w:r>
      <w:r>
        <w:rPr>
          <w:lang w:val="en-GB" w:eastAsia="en-GB"/>
        </w:rPr>
        <w:t xml:space="preserve">used </w:t>
      </w:r>
      <w:r w:rsidR="00D4168A">
        <w:rPr>
          <w:lang w:val="en-GB" w:eastAsia="en-GB"/>
        </w:rPr>
        <w:t>synonymously</w:t>
      </w:r>
      <w:r>
        <w:rPr>
          <w:lang w:val="en-GB" w:eastAsia="en-GB"/>
        </w:rPr>
        <w:t xml:space="preserve"> </w:t>
      </w:r>
      <w:r w:rsidR="00D4168A">
        <w:rPr>
          <w:lang w:val="en-GB" w:eastAsia="en-GB"/>
        </w:rPr>
        <w:t xml:space="preserve">to describe regional </w:t>
      </w:r>
      <w:r w:rsidR="00306687" w:rsidRPr="00306687">
        <w:rPr>
          <w:lang w:val="en-GB" w:eastAsia="en-GB"/>
        </w:rPr>
        <w:t>banks</w:t>
      </w:r>
      <w:r w:rsidR="00D4168A">
        <w:rPr>
          <w:lang w:val="en-GB" w:eastAsia="en-GB"/>
        </w:rPr>
        <w:t xml:space="preserve">, that address </w:t>
      </w:r>
      <w:r w:rsidR="00306687" w:rsidRPr="00306687">
        <w:rPr>
          <w:lang w:val="en-GB" w:eastAsia="en-GB"/>
        </w:rPr>
        <w:t xml:space="preserve">the financial needs of </w:t>
      </w:r>
      <w:r>
        <w:rPr>
          <w:lang w:val="en-GB" w:eastAsia="en-GB"/>
        </w:rPr>
        <w:t>small businesses</w:t>
      </w:r>
      <w:r w:rsidR="00306687" w:rsidRPr="00306687">
        <w:rPr>
          <w:lang w:val="en-GB" w:eastAsia="en-GB"/>
        </w:rPr>
        <w:t xml:space="preserve">, </w:t>
      </w:r>
      <w:r>
        <w:rPr>
          <w:lang w:val="en-GB" w:eastAsia="en-GB"/>
        </w:rPr>
        <w:t>individuals</w:t>
      </w:r>
      <w:r w:rsidR="00306687" w:rsidRPr="00306687">
        <w:rPr>
          <w:lang w:val="en-GB" w:eastAsia="en-GB"/>
        </w:rPr>
        <w:t xml:space="preserve"> and community groups</w:t>
      </w:r>
      <w:r w:rsidR="00D4168A">
        <w:rPr>
          <w:lang w:val="en-GB" w:eastAsia="en-GB"/>
        </w:rPr>
        <w:t xml:space="preserve"> in their locality</w:t>
      </w:r>
      <w:r w:rsidR="00306687" w:rsidRPr="00306687">
        <w:rPr>
          <w:lang w:val="en-GB" w:eastAsia="en-GB"/>
        </w:rPr>
        <w:t xml:space="preserve">. </w:t>
      </w:r>
      <w:r w:rsidR="00D4168A">
        <w:rPr>
          <w:lang w:val="en-GB" w:eastAsia="en-GB"/>
        </w:rPr>
        <w:t xml:space="preserve">They </w:t>
      </w:r>
      <w:r w:rsidR="00306687" w:rsidRPr="00306687">
        <w:rPr>
          <w:lang w:val="en-GB" w:eastAsia="en-GB"/>
        </w:rPr>
        <w:t>also have a remit to invest more ethically than commercial banks, being regional anchor institutions held in trust for the benefit of their members.</w:t>
      </w:r>
      <w:r w:rsidR="00D4168A">
        <w:rPr>
          <w:rStyle w:val="FootnoteReference"/>
          <w:lang w:val="en-GB" w:eastAsia="en-GB"/>
        </w:rPr>
        <w:footnoteReference w:id="31"/>
      </w:r>
    </w:p>
    <w:p w14:paraId="537016DE" w14:textId="5BC66D16" w:rsidR="00AF782E" w:rsidRPr="00AF782E" w:rsidRDefault="00D4168A" w:rsidP="00AF782E">
      <w:pPr>
        <w:rPr>
          <w:lang w:val="en-GB"/>
        </w:rPr>
      </w:pPr>
      <w:r>
        <w:rPr>
          <w:lang w:val="en-GB" w:eastAsia="en-GB"/>
        </w:rPr>
        <w:t>In the United Kingdom</w:t>
      </w:r>
      <w:r w:rsidR="0051042D">
        <w:rPr>
          <w:lang w:val="en-GB" w:eastAsia="en-GB"/>
        </w:rPr>
        <w:t>,</w:t>
      </w:r>
      <w:r>
        <w:rPr>
          <w:lang w:val="en-GB" w:eastAsia="en-GB"/>
        </w:rPr>
        <w:t xml:space="preserve"> the </w:t>
      </w:r>
      <w:hyperlink r:id="rId35" w:history="1">
        <w:r w:rsidRPr="004E114A">
          <w:rPr>
            <w:rStyle w:val="Hyperlink"/>
          </w:rPr>
          <w:t>C</w:t>
        </w:r>
        <w:r w:rsidR="004E114A" w:rsidRPr="004E114A">
          <w:rPr>
            <w:rStyle w:val="Hyperlink"/>
          </w:rPr>
          <w:t>ommunity Savings Bank Association</w:t>
        </w:r>
      </w:hyperlink>
      <w:r w:rsidR="004E114A">
        <w:t xml:space="preserve"> (C</w:t>
      </w:r>
      <w:r w:rsidRPr="004E114A">
        <w:t>SBA</w:t>
      </w:r>
      <w:r w:rsidR="004E114A">
        <w:t>)</w:t>
      </w:r>
      <w:r w:rsidRPr="004E114A">
        <w:t xml:space="preserve"> </w:t>
      </w:r>
      <w:r w:rsidR="004E114A">
        <w:t xml:space="preserve">have developed a </w:t>
      </w:r>
      <w:r w:rsidRPr="004E114A">
        <w:t xml:space="preserve">banking model package for starting a </w:t>
      </w:r>
      <w:r w:rsidR="0091184D">
        <w:t>regional mutual bank</w:t>
      </w:r>
      <w:r w:rsidRPr="004E114A">
        <w:t xml:space="preserve">, including </w:t>
      </w:r>
      <w:r w:rsidR="004E114A">
        <w:t xml:space="preserve">the </w:t>
      </w:r>
      <w:r w:rsidRPr="004E114A">
        <w:t>licensing process, financial modelling</w:t>
      </w:r>
      <w:r w:rsidR="0091184D">
        <w:t xml:space="preserve">, </w:t>
      </w:r>
      <w:r w:rsidRPr="004E114A">
        <w:t>agreements with key suppliers</w:t>
      </w:r>
      <w:r w:rsidR="0091184D">
        <w:t>,</w:t>
      </w:r>
      <w:r w:rsidR="0091184D" w:rsidRPr="0091184D">
        <w:rPr>
          <w:lang w:val="en-GB" w:eastAsia="en-GB"/>
        </w:rPr>
        <w:t xml:space="preserve"> </w:t>
      </w:r>
      <w:r w:rsidRPr="0091184D">
        <w:rPr>
          <w:lang w:val="en-GB"/>
        </w:rPr>
        <w:t>legal forms and constitutional documents for a customer owned bank. These have been agreed and registered with the FCA as model rules.</w:t>
      </w:r>
      <w:r w:rsidR="00AF782E" w:rsidRPr="00AF782E">
        <w:rPr>
          <w:lang w:val="en-GB" w:eastAsia="en-GB"/>
        </w:rPr>
        <w:t xml:space="preserve"> </w:t>
      </w:r>
      <w:r w:rsidR="00AF782E" w:rsidRPr="00AF782E">
        <w:rPr>
          <w:lang w:val="en-GB"/>
        </w:rPr>
        <w:t>The CSBA suggest the investment capital necessary to establish a regional mutual bank is approximately £20</w:t>
      </w:r>
      <w:r w:rsidR="0051042D">
        <w:rPr>
          <w:lang w:val="en-GB"/>
        </w:rPr>
        <w:t xml:space="preserve"> </w:t>
      </w:r>
      <w:r w:rsidR="00AF782E" w:rsidRPr="00AF782E">
        <w:rPr>
          <w:lang w:val="en-GB"/>
        </w:rPr>
        <w:t>m</w:t>
      </w:r>
      <w:r w:rsidR="0051042D">
        <w:rPr>
          <w:lang w:val="en-GB"/>
        </w:rPr>
        <w:t>illion (m)</w:t>
      </w:r>
      <w:r w:rsidR="00AF782E" w:rsidRPr="00AF782E">
        <w:rPr>
          <w:lang w:val="en-GB"/>
        </w:rPr>
        <w:t>.</w:t>
      </w:r>
      <w:r w:rsidR="00AF782E" w:rsidRPr="00AF782E">
        <w:rPr>
          <w:vertAlign w:val="superscript"/>
          <w:lang w:val="en-GB"/>
        </w:rPr>
        <w:footnoteReference w:id="32"/>
      </w:r>
    </w:p>
    <w:p w14:paraId="42A6EE60" w14:textId="6653C81F" w:rsidR="00AF782E" w:rsidRPr="00AF782E" w:rsidRDefault="004E114A" w:rsidP="00AF782E">
      <w:pPr>
        <w:rPr>
          <w:lang w:val="en-GB" w:eastAsia="en-GB"/>
        </w:rPr>
      </w:pPr>
      <w:r>
        <w:t xml:space="preserve">In </w:t>
      </w:r>
      <w:r w:rsidR="00D4168A">
        <w:rPr>
          <w:lang w:val="en-GB" w:eastAsia="en-GB"/>
        </w:rPr>
        <w:t>Northern Ireland,</w:t>
      </w:r>
      <w:r w:rsidR="00D4168A" w:rsidRPr="00D4168A">
        <w:t xml:space="preserve"> </w:t>
      </w:r>
      <w:r w:rsidR="00D4168A" w:rsidRPr="00D4168A">
        <w:rPr>
          <w:lang w:eastAsia="en-GB"/>
        </w:rPr>
        <w:t>campaign</w:t>
      </w:r>
      <w:r>
        <w:rPr>
          <w:lang w:eastAsia="en-GB"/>
        </w:rPr>
        <w:t>ers are</w:t>
      </w:r>
      <w:r w:rsidR="00D4168A" w:rsidRPr="00D4168A">
        <w:rPr>
          <w:lang w:eastAsia="en-GB"/>
        </w:rPr>
        <w:t xml:space="preserve"> working to establish </w:t>
      </w:r>
      <w:hyperlink r:id="rId36" w:history="1">
        <w:r w:rsidR="00AF782E" w:rsidRPr="00AF782E">
          <w:rPr>
            <w:rStyle w:val="Hyperlink"/>
            <w:lang w:eastAsia="en-GB"/>
          </w:rPr>
          <w:t>The Northern Mutual</w:t>
        </w:r>
      </w:hyperlink>
      <w:r w:rsidR="00AF782E">
        <w:rPr>
          <w:lang w:eastAsia="en-GB"/>
        </w:rPr>
        <w:t xml:space="preserve">, </w:t>
      </w:r>
      <w:r w:rsidR="00D4168A" w:rsidRPr="00D4168A">
        <w:rPr>
          <w:lang w:eastAsia="en-GB"/>
        </w:rPr>
        <w:t xml:space="preserve">a regional mutual bank </w:t>
      </w:r>
      <w:r>
        <w:rPr>
          <w:lang w:eastAsia="en-GB"/>
        </w:rPr>
        <w:t>using the CSBA banking model.</w:t>
      </w:r>
      <w:r w:rsidR="00D4168A" w:rsidRPr="00D4168A">
        <w:rPr>
          <w:lang w:eastAsia="en-GB"/>
        </w:rPr>
        <w:t> </w:t>
      </w:r>
      <w:r w:rsidR="0091184D" w:rsidRPr="00AF782E">
        <w:rPr>
          <w:bCs/>
          <w:lang w:val="en-GB" w:eastAsia="en-GB"/>
        </w:rPr>
        <w:t xml:space="preserve">The Northern </w:t>
      </w:r>
      <w:r w:rsidR="00AF782E">
        <w:rPr>
          <w:bCs/>
          <w:lang w:val="en-GB" w:eastAsia="en-GB"/>
        </w:rPr>
        <w:t xml:space="preserve">Mutual </w:t>
      </w:r>
      <w:r w:rsidR="00D4168A" w:rsidRPr="00AF782E">
        <w:rPr>
          <w:lang w:val="en-GB" w:eastAsia="en-GB"/>
        </w:rPr>
        <w:t xml:space="preserve">campaign is </w:t>
      </w:r>
      <w:r w:rsidR="00AF782E" w:rsidRPr="00AF782E">
        <w:rPr>
          <w:lang w:val="en-GB" w:eastAsia="en-GB"/>
        </w:rPr>
        <w:t xml:space="preserve">part of a plan for </w:t>
      </w:r>
      <w:r w:rsidR="00D4168A" w:rsidRPr="00AF782E">
        <w:rPr>
          <w:lang w:val="en-GB" w:eastAsia="en-GB"/>
        </w:rPr>
        <w:t xml:space="preserve">19 regional banks </w:t>
      </w:r>
      <w:r w:rsidR="00AF782E" w:rsidRPr="00AF782E">
        <w:rPr>
          <w:lang w:val="en-GB" w:eastAsia="en-GB"/>
        </w:rPr>
        <w:t>across the United Kingdom.</w:t>
      </w:r>
      <w:r w:rsidR="00D4168A" w:rsidRPr="00AF782E">
        <w:rPr>
          <w:lang w:val="en-GB" w:eastAsia="en-GB"/>
        </w:rPr>
        <w:t> </w:t>
      </w:r>
      <w:r w:rsidR="0091184D">
        <w:rPr>
          <w:lang w:val="en-GB" w:eastAsia="en-GB"/>
        </w:rPr>
        <w:t>At the time of writing</w:t>
      </w:r>
      <w:r w:rsidR="0051042D">
        <w:rPr>
          <w:lang w:val="en-GB" w:eastAsia="en-GB"/>
        </w:rPr>
        <w:t>,</w:t>
      </w:r>
      <w:r w:rsidR="0091184D">
        <w:rPr>
          <w:lang w:val="en-GB" w:eastAsia="en-GB"/>
        </w:rPr>
        <w:t xml:space="preserve"> work remains to be done to finalise </w:t>
      </w:r>
      <w:r w:rsidR="00AF782E">
        <w:rPr>
          <w:lang w:val="en-GB" w:eastAsia="en-GB"/>
        </w:rPr>
        <w:t xml:space="preserve">the first </w:t>
      </w:r>
      <w:r w:rsidR="0091184D">
        <w:rPr>
          <w:lang w:val="en-GB" w:eastAsia="en-GB"/>
        </w:rPr>
        <w:t>regional</w:t>
      </w:r>
      <w:r w:rsidR="00AF782E">
        <w:rPr>
          <w:lang w:val="en-GB" w:eastAsia="en-GB"/>
        </w:rPr>
        <w:t xml:space="preserve"> mutual bank in Northern Ireland. However, the CSBA report that:</w:t>
      </w:r>
      <w:r w:rsidR="00AF782E" w:rsidRPr="00AF782E">
        <w:rPr>
          <w:vertAlign w:val="superscript"/>
          <w:lang w:val="en-GB" w:eastAsia="en-GB"/>
        </w:rPr>
        <w:t xml:space="preserve"> </w:t>
      </w:r>
      <w:r w:rsidR="00AF782E" w:rsidRPr="00AF782E">
        <w:rPr>
          <w:vertAlign w:val="superscript"/>
          <w:lang w:val="en-GB" w:eastAsia="en-GB"/>
        </w:rPr>
        <w:footnoteReference w:id="33"/>
      </w:r>
    </w:p>
    <w:p w14:paraId="2EE58359" w14:textId="1153535A" w:rsidR="00D4168A" w:rsidRPr="00AF782E" w:rsidRDefault="00AF782E" w:rsidP="00AF782E">
      <w:pPr>
        <w:ind w:left="1191" w:right="1191"/>
        <w:rPr>
          <w:i/>
          <w:iCs/>
          <w:lang w:val="en-GB" w:eastAsia="en-GB"/>
        </w:rPr>
      </w:pPr>
      <w:r w:rsidRPr="00AF782E">
        <w:rPr>
          <w:i/>
          <w:iCs/>
          <w:lang w:val="en-GB" w:eastAsia="en-GB"/>
        </w:rPr>
        <w:t xml:space="preserve"> </w:t>
      </w:r>
      <w:r w:rsidRPr="00AF782E">
        <w:rPr>
          <w:i/>
          <w:iCs/>
          <w:lang w:eastAsia="en-GB"/>
        </w:rPr>
        <w:t>The first steps have been taken to making a customer owned bank a reality. Northern Mutual Limited has been formed and a team of people put together to take this forward.</w:t>
      </w:r>
    </w:p>
    <w:p w14:paraId="12CB9261" w14:textId="313AC782" w:rsidR="009D7EB5" w:rsidRDefault="009D7EB5" w:rsidP="001F001E">
      <w:pPr>
        <w:pStyle w:val="Heading2"/>
      </w:pPr>
      <w:r>
        <w:lastRenderedPageBreak/>
        <w:t>Issues for Consideration</w:t>
      </w:r>
    </w:p>
    <w:p w14:paraId="1EAFFA97" w14:textId="7314310A" w:rsidR="003A4CDC" w:rsidRDefault="003A4CDC" w:rsidP="001F001E">
      <w:pPr>
        <w:rPr>
          <w:lang w:val="en-GB" w:eastAsia="en-GB"/>
        </w:rPr>
      </w:pPr>
      <w:r>
        <w:rPr>
          <w:lang w:val="en-GB" w:eastAsia="en-GB"/>
        </w:rPr>
        <w:t xml:space="preserve">The section </w:t>
      </w:r>
      <w:r w:rsidRPr="003A4CDC">
        <w:rPr>
          <w:lang w:val="en-GB" w:eastAsia="en-GB"/>
        </w:rPr>
        <w:t>summarises potential issues for consideration by the Committee in light of the branch closures and the changing financial services landscape in Northern Ireland</w:t>
      </w:r>
    </w:p>
    <w:p w14:paraId="1FA3E387" w14:textId="648C1EF4" w:rsidR="00380A43" w:rsidRDefault="00380A43" w:rsidP="00D314CE">
      <w:pPr>
        <w:pStyle w:val="Heading3"/>
        <w:numPr>
          <w:ilvl w:val="2"/>
          <w:numId w:val="33"/>
        </w:numPr>
      </w:pPr>
      <w:r>
        <w:t>Reliance on Cash</w:t>
      </w:r>
    </w:p>
    <w:p w14:paraId="33C485B1" w14:textId="33AB7390" w:rsidR="00F16D17" w:rsidRDefault="006A448E" w:rsidP="001837F3">
      <w:pPr>
        <w:rPr>
          <w:lang w:eastAsia="en-GB"/>
        </w:rPr>
      </w:pPr>
      <w:r>
        <w:rPr>
          <w:lang w:val="en-GB" w:eastAsia="en-GB"/>
        </w:rPr>
        <w:t xml:space="preserve">In 2024 the FCA published </w:t>
      </w:r>
      <w:r w:rsidR="001837F3">
        <w:rPr>
          <w:lang w:val="en-GB" w:eastAsia="en-GB"/>
        </w:rPr>
        <w:t>research on the characteristics associated with cash reliance.</w:t>
      </w:r>
      <w:r w:rsidR="00487789" w:rsidRPr="00487789">
        <w:rPr>
          <w:b/>
          <w:sz w:val="20"/>
          <w:szCs w:val="20"/>
          <w:vertAlign w:val="superscript"/>
          <w:lang w:val="en-GB" w:eastAsia="en-GB"/>
        </w:rPr>
        <w:t xml:space="preserve"> </w:t>
      </w:r>
      <w:r w:rsidR="00487789" w:rsidRPr="00487789">
        <w:rPr>
          <w:vertAlign w:val="superscript"/>
          <w:lang w:val="en-GB" w:eastAsia="en-GB"/>
        </w:rPr>
        <w:footnoteReference w:id="34"/>
      </w:r>
      <w:r w:rsidR="001837F3">
        <w:rPr>
          <w:lang w:val="en-GB" w:eastAsia="en-GB"/>
        </w:rPr>
        <w:t xml:space="preserve"> That research noted several reasons for individuals relying on cash</w:t>
      </w:r>
      <w:r w:rsidR="0051042D">
        <w:rPr>
          <w:lang w:val="en-GB" w:eastAsia="en-GB"/>
        </w:rPr>
        <w:t>,</w:t>
      </w:r>
      <w:r w:rsidR="00487789">
        <w:rPr>
          <w:lang w:val="en-GB" w:eastAsia="en-GB"/>
        </w:rPr>
        <w:t xml:space="preserve"> including convenience, trust and help with budgeting. </w:t>
      </w:r>
      <w:r w:rsidR="00F16D17">
        <w:rPr>
          <w:lang w:eastAsia="en-GB"/>
        </w:rPr>
        <w:t xml:space="preserve">The </w:t>
      </w:r>
      <w:r w:rsidR="009D5F2B">
        <w:rPr>
          <w:lang w:eastAsia="en-GB"/>
        </w:rPr>
        <w:t>2024 FCA research also noted that:</w:t>
      </w:r>
    </w:p>
    <w:p w14:paraId="106CEC04" w14:textId="21DAD8DD" w:rsidR="009D5F2B" w:rsidRDefault="009D5F2B" w:rsidP="009D5F2B">
      <w:pPr>
        <w:ind w:left="1191" w:right="1191"/>
        <w:rPr>
          <w:rFonts w:cs="Arial"/>
          <w:i/>
          <w:iCs/>
          <w:sz w:val="25"/>
          <w:szCs w:val="25"/>
        </w:rPr>
      </w:pPr>
      <w:r>
        <w:rPr>
          <w:rFonts w:cs="Arial"/>
          <w:i/>
          <w:iCs/>
          <w:sz w:val="25"/>
          <w:szCs w:val="25"/>
        </w:rPr>
        <w:t>…</w:t>
      </w:r>
      <w:r w:rsidRPr="009D5F2B">
        <w:rPr>
          <w:rFonts w:cs="Arial"/>
          <w:i/>
          <w:iCs/>
          <w:sz w:val="25"/>
          <w:szCs w:val="25"/>
        </w:rPr>
        <w:t>being digitally excluded, measured through</w:t>
      </w:r>
      <w:r>
        <w:rPr>
          <w:rFonts w:cs="Arial"/>
          <w:i/>
          <w:iCs/>
          <w:sz w:val="25"/>
          <w:szCs w:val="25"/>
        </w:rPr>
        <w:t xml:space="preserve"> </w:t>
      </w:r>
      <w:r w:rsidRPr="009D5F2B">
        <w:rPr>
          <w:rFonts w:cs="Arial"/>
          <w:i/>
          <w:iCs/>
          <w:sz w:val="25"/>
          <w:szCs w:val="25"/>
        </w:rPr>
        <w:t>an individual</w:t>
      </w:r>
      <w:r>
        <w:rPr>
          <w:rFonts w:cs="Arial"/>
          <w:i/>
          <w:iCs/>
          <w:sz w:val="25"/>
          <w:szCs w:val="25"/>
        </w:rPr>
        <w:t xml:space="preserve"> </w:t>
      </w:r>
      <w:r w:rsidRPr="009D5F2B">
        <w:rPr>
          <w:rFonts w:cs="Arial"/>
          <w:i/>
          <w:iCs/>
          <w:sz w:val="25"/>
          <w:szCs w:val="25"/>
        </w:rPr>
        <w:t>having</w:t>
      </w:r>
      <w:r>
        <w:rPr>
          <w:rFonts w:cs="Arial"/>
          <w:i/>
          <w:iCs/>
          <w:sz w:val="25"/>
          <w:szCs w:val="25"/>
        </w:rPr>
        <w:t xml:space="preserve"> </w:t>
      </w:r>
      <w:r w:rsidRPr="009D5F2B">
        <w:rPr>
          <w:rFonts w:cs="Arial"/>
          <w:i/>
          <w:iCs/>
          <w:sz w:val="25"/>
          <w:szCs w:val="25"/>
        </w:rPr>
        <w:t>low digital capability or poor digital access,</w:t>
      </w:r>
      <w:r>
        <w:rPr>
          <w:rFonts w:cs="Arial"/>
          <w:i/>
          <w:iCs/>
          <w:sz w:val="25"/>
          <w:szCs w:val="25"/>
        </w:rPr>
        <w:t xml:space="preserve"> </w:t>
      </w:r>
      <w:r w:rsidRPr="009D5F2B">
        <w:rPr>
          <w:rFonts w:cs="Arial"/>
          <w:i/>
          <w:iCs/>
          <w:sz w:val="25"/>
          <w:szCs w:val="25"/>
        </w:rPr>
        <w:t>makes an individual over 4</w:t>
      </w:r>
      <w:r>
        <w:rPr>
          <w:rFonts w:cs="Arial"/>
          <w:i/>
          <w:iCs/>
          <w:sz w:val="25"/>
          <w:szCs w:val="25"/>
        </w:rPr>
        <w:t xml:space="preserve"> </w:t>
      </w:r>
      <w:r w:rsidRPr="009D5F2B">
        <w:rPr>
          <w:rFonts w:cs="Arial"/>
          <w:i/>
          <w:iCs/>
          <w:sz w:val="25"/>
          <w:szCs w:val="25"/>
        </w:rPr>
        <w:t>times more likely to rely on cash</w:t>
      </w:r>
      <w:r>
        <w:rPr>
          <w:rFonts w:cs="Arial"/>
          <w:i/>
          <w:iCs/>
          <w:sz w:val="25"/>
          <w:szCs w:val="25"/>
        </w:rPr>
        <w:t xml:space="preserve"> </w:t>
      </w:r>
      <w:r w:rsidRPr="009D5F2B">
        <w:rPr>
          <w:rFonts w:cs="Arial"/>
          <w:i/>
          <w:iCs/>
          <w:sz w:val="25"/>
          <w:szCs w:val="25"/>
        </w:rPr>
        <w:t>than an individual who is not digitally excluded.</w:t>
      </w:r>
    </w:p>
    <w:p w14:paraId="4281134F" w14:textId="537D3C58" w:rsidR="009D5F2B" w:rsidRDefault="009D5F2B" w:rsidP="009D5F2B">
      <w:pPr>
        <w:rPr>
          <w:lang w:eastAsia="en-GB"/>
        </w:rPr>
      </w:pPr>
      <w:r>
        <w:rPr>
          <w:lang w:eastAsia="en-GB"/>
        </w:rPr>
        <w:t>And</w:t>
      </w:r>
      <w:r w:rsidR="0051042D">
        <w:rPr>
          <w:lang w:eastAsia="en-GB"/>
        </w:rPr>
        <w:t>:</w:t>
      </w:r>
    </w:p>
    <w:p w14:paraId="63BE52D3" w14:textId="619A92F9" w:rsidR="009D5F2B" w:rsidRPr="009D5F2B" w:rsidRDefault="00B621B6" w:rsidP="009D5F2B">
      <w:pPr>
        <w:ind w:left="1191" w:right="1191"/>
        <w:rPr>
          <w:i/>
          <w:iCs/>
          <w:lang w:eastAsia="en-GB"/>
        </w:rPr>
      </w:pPr>
      <w:r>
        <w:rPr>
          <w:i/>
          <w:iCs/>
          <w:lang w:eastAsia="en-GB"/>
        </w:rPr>
        <w:t>…</w:t>
      </w:r>
      <w:r w:rsidR="009D5F2B">
        <w:rPr>
          <w:i/>
          <w:iCs/>
          <w:lang w:eastAsia="en-GB"/>
        </w:rPr>
        <w:t>b</w:t>
      </w:r>
      <w:r w:rsidR="009D5F2B" w:rsidRPr="009D5F2B">
        <w:rPr>
          <w:i/>
          <w:iCs/>
          <w:lang w:eastAsia="en-GB"/>
        </w:rPr>
        <w:t>eing</w:t>
      </w:r>
      <w:r w:rsidR="009D5F2B">
        <w:rPr>
          <w:i/>
          <w:iCs/>
          <w:lang w:eastAsia="en-GB"/>
        </w:rPr>
        <w:t xml:space="preserve"> </w:t>
      </w:r>
      <w:r w:rsidR="009D5F2B" w:rsidRPr="009D5F2B">
        <w:rPr>
          <w:i/>
          <w:iCs/>
          <w:lang w:eastAsia="en-GB"/>
        </w:rPr>
        <w:t>in</w:t>
      </w:r>
      <w:r w:rsidR="009D5F2B">
        <w:rPr>
          <w:i/>
          <w:iCs/>
          <w:lang w:eastAsia="en-GB"/>
        </w:rPr>
        <w:t xml:space="preserve"> </w:t>
      </w:r>
      <w:r w:rsidR="009D5F2B" w:rsidRPr="009D5F2B">
        <w:rPr>
          <w:i/>
          <w:iCs/>
          <w:lang w:eastAsia="en-GB"/>
        </w:rPr>
        <w:t>a</w:t>
      </w:r>
      <w:r w:rsidR="009D5F2B">
        <w:rPr>
          <w:i/>
          <w:iCs/>
          <w:lang w:eastAsia="en-GB"/>
        </w:rPr>
        <w:t xml:space="preserve"> </w:t>
      </w:r>
      <w:r w:rsidR="009D5F2B" w:rsidRPr="009D5F2B">
        <w:rPr>
          <w:i/>
          <w:iCs/>
          <w:lang w:eastAsia="en-GB"/>
        </w:rPr>
        <w:t>low-income</w:t>
      </w:r>
      <w:r w:rsidR="009D5F2B">
        <w:rPr>
          <w:i/>
          <w:iCs/>
          <w:lang w:eastAsia="en-GB"/>
        </w:rPr>
        <w:t xml:space="preserve"> </w:t>
      </w:r>
      <w:r w:rsidR="009D5F2B" w:rsidRPr="009D5F2B">
        <w:rPr>
          <w:i/>
          <w:iCs/>
          <w:lang w:eastAsia="en-GB"/>
        </w:rPr>
        <w:t>household,</w:t>
      </w:r>
      <w:r w:rsidR="009D5F2B">
        <w:rPr>
          <w:i/>
          <w:iCs/>
          <w:lang w:eastAsia="en-GB"/>
        </w:rPr>
        <w:t xml:space="preserve"> </w:t>
      </w:r>
      <w:r w:rsidR="009D5F2B" w:rsidRPr="009D5F2B">
        <w:rPr>
          <w:i/>
          <w:iCs/>
          <w:lang w:eastAsia="en-GB"/>
        </w:rPr>
        <w:t>measured through having</w:t>
      </w:r>
      <w:r w:rsidR="009D5F2B">
        <w:rPr>
          <w:i/>
          <w:iCs/>
          <w:lang w:eastAsia="en-GB"/>
        </w:rPr>
        <w:t xml:space="preserve"> </w:t>
      </w:r>
      <w:r w:rsidR="009D5F2B" w:rsidRPr="009D5F2B">
        <w:rPr>
          <w:i/>
          <w:iCs/>
          <w:lang w:eastAsia="en-GB"/>
        </w:rPr>
        <w:t>an annual household income of less than £15,000,makes an individual almost three times as likely to rely on cash</w:t>
      </w:r>
      <w:r w:rsidR="009D5F2B">
        <w:rPr>
          <w:i/>
          <w:iCs/>
          <w:lang w:eastAsia="en-GB"/>
        </w:rPr>
        <w:t>.</w:t>
      </w:r>
    </w:p>
    <w:p w14:paraId="0F352804" w14:textId="0680DE6E" w:rsidR="00210628" w:rsidRDefault="001837F3" w:rsidP="001837F3">
      <w:pPr>
        <w:rPr>
          <w:lang w:val="en-GB" w:eastAsia="en-GB"/>
        </w:rPr>
      </w:pPr>
      <w:r>
        <w:rPr>
          <w:lang w:val="en-GB" w:eastAsia="en-GB"/>
        </w:rPr>
        <w:t>The 2024 FCA research also stated that one of the characteristics associated with a reliance on cash was geographical area. With regard to living in Northern Ireland</w:t>
      </w:r>
      <w:r w:rsidR="0051042D">
        <w:rPr>
          <w:lang w:val="en-GB" w:eastAsia="en-GB"/>
        </w:rPr>
        <w:t>,</w:t>
      </w:r>
      <w:r>
        <w:rPr>
          <w:lang w:val="en-GB" w:eastAsia="en-GB"/>
        </w:rPr>
        <w:t xml:space="preserve"> the </w:t>
      </w:r>
      <w:r w:rsidR="00D367A0">
        <w:rPr>
          <w:lang w:val="en-GB" w:eastAsia="en-GB"/>
        </w:rPr>
        <w:t xml:space="preserve">FCA </w:t>
      </w:r>
      <w:r>
        <w:rPr>
          <w:lang w:val="en-GB" w:eastAsia="en-GB"/>
        </w:rPr>
        <w:t>research stated:</w:t>
      </w:r>
      <w:r>
        <w:rPr>
          <w:rStyle w:val="FootnoteReference"/>
          <w:lang w:val="en-GB" w:eastAsia="en-GB"/>
        </w:rPr>
        <w:footnoteReference w:id="35"/>
      </w:r>
    </w:p>
    <w:p w14:paraId="753F945E" w14:textId="0832B9CF" w:rsidR="001837F3" w:rsidRPr="001837F3" w:rsidRDefault="001837F3" w:rsidP="001837F3">
      <w:pPr>
        <w:ind w:left="1191" w:right="1191"/>
        <w:rPr>
          <w:i/>
          <w:iCs/>
          <w:lang w:val="en-GB" w:eastAsia="en-GB"/>
        </w:rPr>
      </w:pPr>
      <w:r w:rsidRPr="001837F3">
        <w:rPr>
          <w:i/>
          <w:iCs/>
          <w:lang w:eastAsia="en-GB"/>
        </w:rPr>
        <w:t>We find, on average, that living in Northern Ireland makes an individual over twice as likely to rely on cash than a similar individual in England</w:t>
      </w:r>
      <w:r w:rsidR="00607F6F">
        <w:rPr>
          <w:i/>
          <w:iCs/>
          <w:lang w:eastAsia="en-GB"/>
        </w:rPr>
        <w:t>.</w:t>
      </w:r>
    </w:p>
    <w:p w14:paraId="6FF1DE41" w14:textId="0803611C" w:rsidR="001837F3" w:rsidRDefault="00D367A0" w:rsidP="001837F3">
      <w:pPr>
        <w:rPr>
          <w:lang w:val="en-GB" w:eastAsia="en-GB"/>
        </w:rPr>
      </w:pPr>
      <w:r>
        <w:rPr>
          <w:lang w:val="en-GB" w:eastAsia="en-GB"/>
        </w:rPr>
        <w:t>And</w:t>
      </w:r>
      <w:r w:rsidR="0051042D">
        <w:rPr>
          <w:lang w:val="en-GB" w:eastAsia="en-GB"/>
        </w:rPr>
        <w:t>:</w:t>
      </w:r>
    </w:p>
    <w:p w14:paraId="12207088" w14:textId="060C7B23" w:rsidR="001837F3" w:rsidRDefault="009D5F2B" w:rsidP="001837F3">
      <w:pPr>
        <w:ind w:left="1191" w:right="1191"/>
        <w:rPr>
          <w:i/>
          <w:iCs/>
          <w:lang w:eastAsia="en-GB"/>
        </w:rPr>
      </w:pPr>
      <w:r>
        <w:rPr>
          <w:i/>
          <w:iCs/>
          <w:lang w:eastAsia="en-GB"/>
        </w:rPr>
        <w:lastRenderedPageBreak/>
        <w:t>…</w:t>
      </w:r>
      <w:r w:rsidR="001837F3" w:rsidRPr="001837F3">
        <w:rPr>
          <w:i/>
          <w:iCs/>
          <w:lang w:eastAsia="en-GB"/>
        </w:rPr>
        <w:t>the average annual withdrawal per adult in Northern Ireland is £2,340, compared to an overall UK average of £1,484. The average withdrawal amount per year is also higher than the average in London, Scotland, and regions in the north of England.</w:t>
      </w:r>
    </w:p>
    <w:p w14:paraId="27EF3066" w14:textId="18CAA027" w:rsidR="00413EE7" w:rsidRDefault="00487789" w:rsidP="00487789">
      <w:pPr>
        <w:rPr>
          <w:lang w:val="en-GB" w:eastAsia="en-GB"/>
        </w:rPr>
      </w:pPr>
      <w:r>
        <w:rPr>
          <w:lang w:val="en-GB" w:eastAsia="en-GB"/>
        </w:rPr>
        <w:t xml:space="preserve">Additionally, the FCA research found that </w:t>
      </w:r>
      <w:r w:rsidR="00F67E33">
        <w:rPr>
          <w:rFonts w:cs="Arial"/>
          <w:sz w:val="25"/>
          <w:szCs w:val="25"/>
        </w:rPr>
        <w:t>on</w:t>
      </w:r>
      <w:r>
        <w:rPr>
          <w:rFonts w:cs="Arial"/>
          <w:sz w:val="25"/>
          <w:szCs w:val="25"/>
        </w:rPr>
        <w:t xml:space="preserve"> average, not being in employment</w:t>
      </w:r>
      <w:r w:rsidR="0051042D">
        <w:rPr>
          <w:rFonts w:cs="Arial"/>
          <w:sz w:val="25"/>
          <w:szCs w:val="25"/>
        </w:rPr>
        <w:t xml:space="preserve"> -</w:t>
      </w:r>
      <w:r>
        <w:rPr>
          <w:rFonts w:cs="Arial"/>
          <w:sz w:val="25"/>
          <w:szCs w:val="25"/>
        </w:rPr>
        <w:t xml:space="preserve"> for example, being unemployed and looking for work, being permanently sick/disabled or being retired</w:t>
      </w:r>
      <w:r w:rsidR="0051042D">
        <w:rPr>
          <w:rFonts w:cs="Arial"/>
          <w:sz w:val="25"/>
          <w:szCs w:val="25"/>
        </w:rPr>
        <w:t xml:space="preserve"> -</w:t>
      </w:r>
      <w:r>
        <w:rPr>
          <w:rFonts w:cs="Arial"/>
          <w:sz w:val="25"/>
          <w:szCs w:val="25"/>
        </w:rPr>
        <w:t xml:space="preserve"> makes an individual 83% more likely to rely on cash</w:t>
      </w:r>
      <w:r w:rsidR="00413EE7">
        <w:rPr>
          <w:rFonts w:cs="Arial"/>
          <w:sz w:val="25"/>
          <w:szCs w:val="25"/>
        </w:rPr>
        <w:t xml:space="preserve"> than average</w:t>
      </w:r>
      <w:r>
        <w:rPr>
          <w:rFonts w:cs="Arial"/>
          <w:sz w:val="25"/>
          <w:szCs w:val="25"/>
        </w:rPr>
        <w:t>.</w:t>
      </w:r>
      <w:r w:rsidR="00434D49">
        <w:rPr>
          <w:rFonts w:cs="Arial"/>
          <w:sz w:val="25"/>
          <w:szCs w:val="25"/>
        </w:rPr>
        <w:t xml:space="preserve"> </w:t>
      </w:r>
      <w:r w:rsidR="00413EE7">
        <w:rPr>
          <w:lang w:val="en-GB" w:eastAsia="en-GB"/>
        </w:rPr>
        <w:t>In summary, according to the FCA 2024 research, the following groups all are more likely to rely on cash:</w:t>
      </w:r>
    </w:p>
    <w:p w14:paraId="3C87E955" w14:textId="73EB0E20" w:rsidR="00413EE7" w:rsidRDefault="00413EE7" w:rsidP="00413EE7">
      <w:pPr>
        <w:pStyle w:val="NormalBulletList"/>
        <w:rPr>
          <w:lang w:val="en-GB" w:eastAsia="en-GB"/>
        </w:rPr>
      </w:pPr>
      <w:r>
        <w:rPr>
          <w:lang w:val="en-GB" w:eastAsia="en-GB"/>
        </w:rPr>
        <w:t>the digitally excluded</w:t>
      </w:r>
    </w:p>
    <w:p w14:paraId="1B89E0A2" w14:textId="5DF1C5BF" w:rsidR="00413EE7" w:rsidRDefault="00413EE7" w:rsidP="00413EE7">
      <w:pPr>
        <w:pStyle w:val="NormalBulletList"/>
        <w:rPr>
          <w:lang w:val="en-GB" w:eastAsia="en-GB"/>
        </w:rPr>
      </w:pPr>
      <w:r>
        <w:rPr>
          <w:lang w:val="en-GB" w:eastAsia="en-GB"/>
        </w:rPr>
        <w:t>low-income households</w:t>
      </w:r>
    </w:p>
    <w:p w14:paraId="1F3C0F79" w14:textId="794319CB" w:rsidR="00413EE7" w:rsidRDefault="00413EE7" w:rsidP="00413EE7">
      <w:pPr>
        <w:pStyle w:val="NormalBulletList"/>
        <w:rPr>
          <w:lang w:val="en-GB" w:eastAsia="en-GB"/>
        </w:rPr>
      </w:pPr>
      <w:r>
        <w:rPr>
          <w:lang w:val="en-GB" w:eastAsia="en-GB"/>
        </w:rPr>
        <w:t>people living in Northern Ireland</w:t>
      </w:r>
    </w:p>
    <w:p w14:paraId="1E4168AD" w14:textId="5ABD68D3" w:rsidR="00413EE7" w:rsidRDefault="00413EE7" w:rsidP="00413EE7">
      <w:pPr>
        <w:pStyle w:val="NormalBulletList"/>
        <w:rPr>
          <w:lang w:val="en-GB" w:eastAsia="en-GB"/>
        </w:rPr>
      </w:pPr>
      <w:r>
        <w:rPr>
          <w:lang w:val="en-GB" w:eastAsia="en-GB"/>
        </w:rPr>
        <w:t>the unemployed</w:t>
      </w:r>
    </w:p>
    <w:p w14:paraId="2F6B467D" w14:textId="71A26CB6" w:rsidR="00413EE7" w:rsidRDefault="00413EE7" w:rsidP="00413EE7">
      <w:pPr>
        <w:pStyle w:val="NormalBulletList"/>
        <w:rPr>
          <w:lang w:val="en-GB" w:eastAsia="en-GB"/>
        </w:rPr>
      </w:pPr>
      <w:r>
        <w:rPr>
          <w:lang w:val="en-GB" w:eastAsia="en-GB"/>
        </w:rPr>
        <w:t>the sick/disabled</w:t>
      </w:r>
    </w:p>
    <w:p w14:paraId="16C441F8" w14:textId="5EAACDCB" w:rsidR="00413EE7" w:rsidRPr="00413EE7" w:rsidRDefault="00413EE7" w:rsidP="00CE1E8B">
      <w:pPr>
        <w:pStyle w:val="NormalBulletList"/>
        <w:rPr>
          <w:lang w:val="en-GB" w:eastAsia="en-GB"/>
        </w:rPr>
      </w:pPr>
      <w:r w:rsidRPr="00413EE7">
        <w:rPr>
          <w:lang w:val="en-GB" w:eastAsia="en-GB"/>
        </w:rPr>
        <w:t>retired people</w:t>
      </w:r>
    </w:p>
    <w:p w14:paraId="1653470E" w14:textId="7E13B74F" w:rsidR="00CC4562" w:rsidRDefault="00F9273E" w:rsidP="00F9273E">
      <w:pPr>
        <w:pStyle w:val="Heading3"/>
      </w:pPr>
      <w:r>
        <w:t>Digital Banking</w:t>
      </w:r>
      <w:r w:rsidR="001A596C">
        <w:t xml:space="preserve">: </w:t>
      </w:r>
      <w:r w:rsidR="00CC4562" w:rsidRPr="009D5F2B">
        <w:rPr>
          <w:lang w:val="en-US"/>
        </w:rPr>
        <w:t xml:space="preserve">Older </w:t>
      </w:r>
      <w:r w:rsidR="001A596C">
        <w:rPr>
          <w:lang w:val="en-US"/>
        </w:rPr>
        <w:t xml:space="preserve">and Disabled </w:t>
      </w:r>
      <w:r w:rsidR="009D5F2B">
        <w:rPr>
          <w:lang w:val="en-US"/>
        </w:rPr>
        <w:t>Customers</w:t>
      </w:r>
    </w:p>
    <w:p w14:paraId="3D681597" w14:textId="2505B936" w:rsidR="00F9273E" w:rsidRDefault="00F9273E" w:rsidP="00380A43">
      <w:pPr>
        <w:rPr>
          <w:lang w:eastAsia="en-GB"/>
        </w:rPr>
      </w:pPr>
      <w:r>
        <w:rPr>
          <w:lang w:eastAsia="en-GB"/>
        </w:rPr>
        <w:t xml:space="preserve">In 2022, </w:t>
      </w:r>
      <w:r w:rsidR="00CC4562">
        <w:rPr>
          <w:lang w:eastAsia="en-GB"/>
        </w:rPr>
        <w:t>AgeUK</w:t>
      </w:r>
      <w:r w:rsidR="00EC59EA" w:rsidRPr="00EC59EA">
        <w:rPr>
          <w:lang w:eastAsia="en-GB"/>
        </w:rPr>
        <w:t xml:space="preserve"> commissioned Ipsos to carry out </w:t>
      </w:r>
      <w:r>
        <w:rPr>
          <w:lang w:eastAsia="en-GB"/>
        </w:rPr>
        <w:t>a survey o</w:t>
      </w:r>
      <w:r w:rsidR="00EC59EA" w:rsidRPr="00EC59EA">
        <w:rPr>
          <w:lang w:eastAsia="en-GB"/>
        </w:rPr>
        <w:t>f over 65s across Great Britain</w:t>
      </w:r>
      <w:r>
        <w:rPr>
          <w:lang w:eastAsia="en-GB"/>
        </w:rPr>
        <w:t xml:space="preserve">. The subsequent report </w:t>
      </w:r>
      <w:hyperlink r:id="rId37" w:history="1">
        <w:r w:rsidRPr="00F9273E">
          <w:rPr>
            <w:rStyle w:val="Hyperlink"/>
            <w:lang w:eastAsia="en-GB"/>
          </w:rPr>
          <w:t>You can’t bank on it anymore</w:t>
        </w:r>
      </w:hyperlink>
      <w:r>
        <w:rPr>
          <w:lang w:eastAsia="en-GB"/>
        </w:rPr>
        <w:t xml:space="preserve">, published in 2023, noted that </w:t>
      </w:r>
      <w:r w:rsidR="00EC59EA" w:rsidRPr="00EC59EA">
        <w:rPr>
          <w:lang w:eastAsia="en-GB"/>
        </w:rPr>
        <w:t>while the majority of older people do bank online</w:t>
      </w:r>
      <w:r>
        <w:rPr>
          <w:lang w:eastAsia="en-GB"/>
        </w:rPr>
        <w:t xml:space="preserve"> (</w:t>
      </w:r>
      <w:r w:rsidR="00EC59EA" w:rsidRPr="00EC59EA">
        <w:rPr>
          <w:lang w:eastAsia="en-GB"/>
        </w:rPr>
        <w:t>58%</w:t>
      </w:r>
      <w:r>
        <w:rPr>
          <w:lang w:eastAsia="en-GB"/>
        </w:rPr>
        <w:t>)</w:t>
      </w:r>
      <w:r w:rsidR="0051042D">
        <w:rPr>
          <w:lang w:eastAsia="en-GB"/>
        </w:rPr>
        <w:t>,</w:t>
      </w:r>
      <w:r w:rsidR="00EC59EA" w:rsidRPr="00EC59EA">
        <w:rPr>
          <w:lang w:eastAsia="en-GB"/>
        </w:rPr>
        <w:t xml:space="preserve"> there are a significant number who are not able to do so.</w:t>
      </w:r>
      <w:r>
        <w:rPr>
          <w:lang w:eastAsia="en-GB"/>
        </w:rPr>
        <w:t xml:space="preserve"> Nearly one third of those surveyed, (</w:t>
      </w:r>
      <w:r w:rsidR="00EC59EA" w:rsidRPr="00EC59EA">
        <w:rPr>
          <w:lang w:eastAsia="en-GB"/>
        </w:rPr>
        <w:t>27%</w:t>
      </w:r>
      <w:r>
        <w:rPr>
          <w:lang w:eastAsia="en-GB"/>
        </w:rPr>
        <w:t>)</w:t>
      </w:r>
      <w:r w:rsidR="0051042D">
        <w:rPr>
          <w:lang w:eastAsia="en-GB"/>
        </w:rPr>
        <w:t xml:space="preserve">, </w:t>
      </w:r>
      <w:r w:rsidR="00EC59EA" w:rsidRPr="00EC59EA">
        <w:rPr>
          <w:lang w:eastAsia="en-GB"/>
        </w:rPr>
        <w:t>manage</w:t>
      </w:r>
      <w:r>
        <w:rPr>
          <w:lang w:eastAsia="en-GB"/>
        </w:rPr>
        <w:t>d</w:t>
      </w:r>
      <w:r w:rsidR="00EC59EA" w:rsidRPr="00EC59EA">
        <w:rPr>
          <w:lang w:eastAsia="en-GB"/>
        </w:rPr>
        <w:t xml:space="preserve"> their accounts </w:t>
      </w:r>
      <w:r w:rsidR="00EC59EA" w:rsidRPr="00F9273E">
        <w:rPr>
          <w:i/>
          <w:lang w:eastAsia="en-GB"/>
        </w:rPr>
        <w:t>via</w:t>
      </w:r>
      <w:r w:rsidR="00EC59EA" w:rsidRPr="00EC59EA">
        <w:rPr>
          <w:lang w:eastAsia="en-GB"/>
        </w:rPr>
        <w:t xml:space="preserve"> a branch or other physical location (</w:t>
      </w:r>
      <w:r w:rsidR="0051042D">
        <w:rPr>
          <w:lang w:eastAsia="en-GB"/>
        </w:rPr>
        <w:t>for example,</w:t>
      </w:r>
      <w:r w:rsidR="00EC59EA" w:rsidRPr="00EC59EA">
        <w:rPr>
          <w:lang w:eastAsia="en-GB"/>
        </w:rPr>
        <w:t xml:space="preserve"> a Post Office)</w:t>
      </w:r>
      <w:r>
        <w:rPr>
          <w:lang w:eastAsia="en-GB"/>
        </w:rPr>
        <w:t xml:space="preserve">. Moreover, </w:t>
      </w:r>
      <w:r w:rsidR="00EC59EA" w:rsidRPr="00EC59EA">
        <w:rPr>
          <w:lang w:eastAsia="en-GB"/>
        </w:rPr>
        <w:t>the same proportion – but not necessarily the same people – visit</w:t>
      </w:r>
      <w:r>
        <w:rPr>
          <w:lang w:eastAsia="en-GB"/>
        </w:rPr>
        <w:t xml:space="preserve">ed </w:t>
      </w:r>
      <w:r w:rsidR="00EC59EA" w:rsidRPr="00EC59EA">
        <w:rPr>
          <w:lang w:eastAsia="en-GB"/>
        </w:rPr>
        <w:t>a bank branch at least once a month. Only 14% of the 85+ age group bank</w:t>
      </w:r>
      <w:r>
        <w:rPr>
          <w:lang w:eastAsia="en-GB"/>
        </w:rPr>
        <w:t>ed</w:t>
      </w:r>
      <w:r w:rsidR="00EC59EA" w:rsidRPr="00EC59EA">
        <w:rPr>
          <w:lang w:eastAsia="en-GB"/>
        </w:rPr>
        <w:t xml:space="preserve"> online, with 58% relying on face-to-face banking.</w:t>
      </w:r>
      <w:r>
        <w:rPr>
          <w:rStyle w:val="FootnoteReference"/>
          <w:lang w:eastAsia="en-GB"/>
        </w:rPr>
        <w:footnoteReference w:id="36"/>
      </w:r>
    </w:p>
    <w:p w14:paraId="0D1491CA" w14:textId="1D55120B" w:rsidR="00A80888" w:rsidRDefault="00F9273E" w:rsidP="00380A43">
      <w:pPr>
        <w:rPr>
          <w:lang w:eastAsia="en-GB"/>
        </w:rPr>
      </w:pPr>
      <w:r>
        <w:rPr>
          <w:lang w:eastAsia="en-GB"/>
        </w:rPr>
        <w:t>The report also noted that b</w:t>
      </w:r>
      <w:r w:rsidR="00EC59EA" w:rsidRPr="00EC59EA">
        <w:rPr>
          <w:lang w:eastAsia="en-GB"/>
        </w:rPr>
        <w:t xml:space="preserve">anking </w:t>
      </w:r>
      <w:r>
        <w:rPr>
          <w:lang w:eastAsia="en-GB"/>
        </w:rPr>
        <w:t>h</w:t>
      </w:r>
      <w:r w:rsidR="00EC59EA" w:rsidRPr="00EC59EA">
        <w:rPr>
          <w:lang w:eastAsia="en-GB"/>
        </w:rPr>
        <w:t>ubs may provide a solution for many older people</w:t>
      </w:r>
      <w:r w:rsidR="00A80888">
        <w:rPr>
          <w:lang w:eastAsia="en-GB"/>
        </w:rPr>
        <w:t xml:space="preserve">. Results from the survey showed that </w:t>
      </w:r>
      <w:r w:rsidR="00EC59EA" w:rsidRPr="00EC59EA">
        <w:rPr>
          <w:lang w:eastAsia="en-GB"/>
        </w:rPr>
        <w:t xml:space="preserve">49% </w:t>
      </w:r>
      <w:r w:rsidR="00A80888">
        <w:rPr>
          <w:lang w:eastAsia="en-GB"/>
        </w:rPr>
        <w:t xml:space="preserve">of respondents said </w:t>
      </w:r>
      <w:r w:rsidR="00EC59EA" w:rsidRPr="00EC59EA">
        <w:rPr>
          <w:lang w:eastAsia="en-GB"/>
        </w:rPr>
        <w:t xml:space="preserve">they </w:t>
      </w:r>
      <w:r w:rsidR="00EC59EA" w:rsidRPr="00EC59EA">
        <w:rPr>
          <w:lang w:eastAsia="en-GB"/>
        </w:rPr>
        <w:lastRenderedPageBreak/>
        <w:t xml:space="preserve">would be comfortable managing their money from </w:t>
      </w:r>
      <w:r w:rsidR="00A80888">
        <w:rPr>
          <w:lang w:eastAsia="en-GB"/>
        </w:rPr>
        <w:t xml:space="preserve">a banking hub. However, </w:t>
      </w:r>
      <w:r w:rsidR="00EC59EA" w:rsidRPr="00EC59EA">
        <w:rPr>
          <w:lang w:eastAsia="en-GB"/>
        </w:rPr>
        <w:t xml:space="preserve">26% </w:t>
      </w:r>
      <w:r w:rsidR="00A80888">
        <w:rPr>
          <w:lang w:eastAsia="en-GB"/>
        </w:rPr>
        <w:t>said they would not be comfortable</w:t>
      </w:r>
      <w:r w:rsidR="00EC59EA" w:rsidRPr="00EC59EA">
        <w:rPr>
          <w:lang w:eastAsia="en-GB"/>
        </w:rPr>
        <w:t>.</w:t>
      </w:r>
    </w:p>
    <w:p w14:paraId="41824002" w14:textId="660B9F26" w:rsidR="007F0E4C" w:rsidRPr="001A596C" w:rsidRDefault="009D5F2B" w:rsidP="001A596C">
      <w:pPr>
        <w:rPr>
          <w:b/>
        </w:rPr>
      </w:pPr>
      <w:r w:rsidRPr="001A596C">
        <w:rPr>
          <w:b/>
        </w:rPr>
        <w:t>D</w:t>
      </w:r>
      <w:r w:rsidR="007F0E4C" w:rsidRPr="001A596C">
        <w:rPr>
          <w:b/>
        </w:rPr>
        <w:t>isabled People</w:t>
      </w:r>
    </w:p>
    <w:p w14:paraId="286D19EE" w14:textId="54DF325C" w:rsidR="00D4719B" w:rsidRDefault="009D5F2B" w:rsidP="00F16D17">
      <w:pPr>
        <w:rPr>
          <w:rFonts w:cs="Arial"/>
          <w:lang w:val="en-GB" w:eastAsia="en-GB"/>
        </w:rPr>
      </w:pPr>
      <w:r>
        <w:rPr>
          <w:rFonts w:cs="Arial"/>
          <w:lang w:eastAsia="en-GB"/>
        </w:rPr>
        <w:t>In 2023, t</w:t>
      </w:r>
      <w:r w:rsidR="007F0E4C">
        <w:rPr>
          <w:rFonts w:cs="Arial"/>
          <w:lang w:eastAsia="en-GB"/>
        </w:rPr>
        <w:t>he Research Institute for Disabled Consumers (RIDC) found that more than half (52%) of disabled bank customers felt branch closures had had a negative impact on their ability to access vital banking services.</w:t>
      </w:r>
      <w:r w:rsidR="00F16D17" w:rsidRPr="00F16D17">
        <w:rPr>
          <w:rFonts w:cs="Arial"/>
          <w:bCs/>
          <w:color w:val="000000"/>
          <w:lang w:val="en-GB" w:eastAsia="en-GB"/>
        </w:rPr>
        <w:t xml:space="preserve"> </w:t>
      </w:r>
      <w:r w:rsidR="001A596C">
        <w:rPr>
          <w:rFonts w:cs="Arial"/>
          <w:bCs/>
          <w:color w:val="000000"/>
          <w:lang w:val="en-GB" w:eastAsia="en-GB"/>
        </w:rPr>
        <w:t xml:space="preserve">RIDC’s </w:t>
      </w:r>
      <w:r>
        <w:rPr>
          <w:rFonts w:cs="Arial"/>
          <w:bCs/>
          <w:color w:val="000000"/>
          <w:lang w:val="en-GB" w:eastAsia="en-GB"/>
        </w:rPr>
        <w:t xml:space="preserve">survey found that </w:t>
      </w:r>
      <w:r w:rsidR="001A596C" w:rsidRPr="001A596C">
        <w:rPr>
          <w:rFonts w:cs="Arial"/>
          <w:bCs/>
          <w:color w:val="000000"/>
          <w:lang w:val="en-GB" w:eastAsia="en-GB"/>
        </w:rPr>
        <w:t>2,723 disabled customers found some face major obstacles when trying to manage their money.</w:t>
      </w:r>
      <w:r w:rsidR="001A596C">
        <w:rPr>
          <w:rFonts w:cs="Arial"/>
          <w:bCs/>
          <w:color w:val="000000"/>
          <w:lang w:val="en-GB" w:eastAsia="en-GB"/>
        </w:rPr>
        <w:t xml:space="preserve"> Digital s</w:t>
      </w:r>
      <w:r w:rsidR="00F16D17" w:rsidRPr="00F16D17">
        <w:rPr>
          <w:rFonts w:cs="Arial"/>
          <w:lang w:val="en-GB" w:eastAsia="en-GB"/>
        </w:rPr>
        <w:t xml:space="preserve">ecurity features </w:t>
      </w:r>
      <w:r w:rsidR="0051042D">
        <w:rPr>
          <w:rFonts w:cs="Arial"/>
          <w:lang w:val="en-GB" w:eastAsia="en-GB"/>
        </w:rPr>
        <w:t xml:space="preserve">- </w:t>
      </w:r>
      <w:r w:rsidR="00F16D17" w:rsidRPr="00F16D17">
        <w:rPr>
          <w:rFonts w:cs="Arial"/>
          <w:lang w:val="en-GB" w:eastAsia="en-GB"/>
        </w:rPr>
        <w:t xml:space="preserve">such as card readers and passwords </w:t>
      </w:r>
      <w:r w:rsidR="0051042D">
        <w:rPr>
          <w:rFonts w:cs="Arial"/>
          <w:lang w:val="en-GB" w:eastAsia="en-GB"/>
        </w:rPr>
        <w:t xml:space="preserve">- </w:t>
      </w:r>
      <w:r w:rsidR="00F16D17" w:rsidRPr="00F16D17">
        <w:rPr>
          <w:rFonts w:cs="Arial"/>
          <w:lang w:val="en-GB" w:eastAsia="en-GB"/>
        </w:rPr>
        <w:t xml:space="preserve">were </w:t>
      </w:r>
      <w:r w:rsidR="001A596C">
        <w:rPr>
          <w:rFonts w:cs="Arial"/>
          <w:lang w:val="en-GB" w:eastAsia="en-GB"/>
        </w:rPr>
        <w:t xml:space="preserve">particularly </w:t>
      </w:r>
      <w:r w:rsidR="00F16D17" w:rsidRPr="00F16D17">
        <w:rPr>
          <w:rFonts w:cs="Arial"/>
          <w:lang w:val="en-GB" w:eastAsia="en-GB"/>
        </w:rPr>
        <w:t xml:space="preserve">difficult for one in five </w:t>
      </w:r>
      <w:r w:rsidR="001A596C">
        <w:rPr>
          <w:rFonts w:cs="Arial"/>
          <w:lang w:val="en-GB" w:eastAsia="en-GB"/>
        </w:rPr>
        <w:t xml:space="preserve">of these people </w:t>
      </w:r>
      <w:r w:rsidR="00F16D17" w:rsidRPr="00F16D17">
        <w:rPr>
          <w:rFonts w:cs="Arial"/>
          <w:lang w:val="en-GB" w:eastAsia="en-GB"/>
        </w:rPr>
        <w:t>to use. </w:t>
      </w:r>
    </w:p>
    <w:p w14:paraId="119BDF06" w14:textId="77777777" w:rsidR="00D4719B" w:rsidRDefault="00D4719B">
      <w:pPr>
        <w:tabs>
          <w:tab w:val="clear" w:pos="567"/>
        </w:tabs>
        <w:spacing w:before="0" w:after="0" w:line="240" w:lineRule="auto"/>
        <w:ind w:left="0"/>
        <w:rPr>
          <w:rFonts w:cs="Arial"/>
          <w:lang w:val="en-GB" w:eastAsia="en-GB"/>
        </w:rPr>
      </w:pPr>
      <w:r>
        <w:rPr>
          <w:rFonts w:cs="Arial"/>
          <w:lang w:val="en-GB" w:eastAsia="en-GB"/>
        </w:rPr>
        <w:br w:type="page"/>
      </w:r>
    </w:p>
    <w:p w14:paraId="22BA4E37" w14:textId="0C0F6A11" w:rsidR="009879A9" w:rsidRDefault="00B84558" w:rsidP="009879A9">
      <w:pPr>
        <w:pStyle w:val="Heading2"/>
      </w:pPr>
      <w:r>
        <w:lastRenderedPageBreak/>
        <w:t>Concluding remarks</w:t>
      </w:r>
    </w:p>
    <w:p w14:paraId="21A06F67" w14:textId="74D56864" w:rsidR="00D83E2F" w:rsidRDefault="00D83E2F" w:rsidP="00D83E2F">
      <w:pPr>
        <w:rPr>
          <w:i/>
          <w:sz w:val="22"/>
          <w:szCs w:val="22"/>
        </w:rPr>
      </w:pPr>
      <w:r>
        <w:rPr>
          <w:lang w:eastAsia="en-GB"/>
        </w:rPr>
        <w:t xml:space="preserve">According to the </w:t>
      </w:r>
      <w:r w:rsidRPr="00562A3A">
        <w:rPr>
          <w:lang w:eastAsia="en-GB"/>
        </w:rPr>
        <w:t>most currently available, in-depth analysis of the Northern Ireland financial services sector</w:t>
      </w:r>
      <w:r>
        <w:rPr>
          <w:lang w:eastAsia="en-GB"/>
        </w:rPr>
        <w:t>,</w:t>
      </w:r>
      <w:r w:rsidRPr="00562A3A">
        <w:rPr>
          <w:lang w:eastAsia="en-GB"/>
        </w:rPr>
        <w:t xml:space="preserve"> </w:t>
      </w:r>
      <w:r w:rsidRPr="00F67E33">
        <w:t xml:space="preserve">banking </w:t>
      </w:r>
      <w:r>
        <w:t xml:space="preserve">is </w:t>
      </w:r>
      <w:r w:rsidRPr="00F67E33">
        <w:t>the largest financial services employer</w:t>
      </w:r>
      <w:r>
        <w:t xml:space="preserve"> in Northern Ireland, </w:t>
      </w:r>
      <w:r w:rsidRPr="00F67E33">
        <w:t>with 10,000 staff working in 355 sites</w:t>
      </w:r>
      <w:r>
        <w:t xml:space="preserve"> in 2020</w:t>
      </w:r>
      <w:r w:rsidRPr="00F67E33">
        <w:t xml:space="preserve">. Whilst banking counts for the majority of employment and office locations, the Fintech subsector </w:t>
      </w:r>
      <w:r>
        <w:t xml:space="preserve">is clearly a growth area here, with Invest Northern Ireland </w:t>
      </w:r>
      <w:r w:rsidRPr="00D83E2F">
        <w:t xml:space="preserve">hailing Belfast </w:t>
      </w:r>
      <w:r>
        <w:t>as</w:t>
      </w:r>
      <w:r w:rsidRPr="00D83E2F">
        <w:t xml:space="preserve"> the world’s number 1 investment location for financial services technology inward investment projects</w:t>
      </w:r>
      <w:r>
        <w:t xml:space="preserve"> (see </w:t>
      </w:r>
      <w:r w:rsidR="0051042D">
        <w:t>A</w:t>
      </w:r>
      <w:r>
        <w:t xml:space="preserve">ppendix 1 </w:t>
      </w:r>
      <w:r w:rsidR="0051042D">
        <w:t>to this Paper</w:t>
      </w:r>
      <w:r>
        <w:t>)</w:t>
      </w:r>
      <w:r w:rsidRPr="00D83E2F">
        <w:t>.</w:t>
      </w:r>
    </w:p>
    <w:p w14:paraId="3DDE5636" w14:textId="58452AA1" w:rsidR="00D83E2F" w:rsidRPr="00F67E33" w:rsidRDefault="00D83E2F" w:rsidP="00D83E2F">
      <w:r>
        <w:t xml:space="preserve">However, access to cash services in </w:t>
      </w:r>
      <w:r w:rsidR="00144C80">
        <w:t>N</w:t>
      </w:r>
      <w:r>
        <w:t xml:space="preserve">orthern Ireland appears to be an issue for many. </w:t>
      </w:r>
      <w:r w:rsidR="00D4719B">
        <w:t xml:space="preserve">Based on the existing evidence highlighted in sub-section 2.2 of this Paper, it seems this is </w:t>
      </w:r>
      <w:r>
        <w:t>particular</w:t>
      </w:r>
      <w:r w:rsidR="00D4719B">
        <w:t>ly</w:t>
      </w:r>
      <w:r>
        <w:t xml:space="preserve"> felt among the rural population here with </w:t>
      </w:r>
      <w:r w:rsidR="003B32FE" w:rsidRPr="00D83E2F">
        <w:t xml:space="preserve">roughly half of the people living in a rural location </w:t>
      </w:r>
      <w:r w:rsidR="00144C80">
        <w:t xml:space="preserve">being further than a </w:t>
      </w:r>
      <w:r w:rsidR="003B32FE" w:rsidRPr="00D83E2F">
        <w:t>mile away from free access to cash services.</w:t>
      </w:r>
      <w:r w:rsidR="00144C80">
        <w:t xml:space="preserve"> </w:t>
      </w:r>
      <w:r w:rsidR="00FF0979">
        <w:t>Furthermore,</w:t>
      </w:r>
      <w:r w:rsidR="00BB7AB3">
        <w:t xml:space="preserve"> a</w:t>
      </w:r>
      <w:r w:rsidRPr="00F67E33">
        <w:t>nalysis</w:t>
      </w:r>
      <w:r w:rsidR="00BB7AB3">
        <w:t xml:space="preserve"> undertaken by</w:t>
      </w:r>
      <w:r w:rsidRPr="00F67E33">
        <w:t xml:space="preserve"> the C</w:t>
      </w:r>
      <w:r w:rsidR="00D4719B">
        <w:t>CNI</w:t>
      </w:r>
      <w:r w:rsidRPr="00F67E33">
        <w:t xml:space="preserve"> in 2023 showed that across Northern Ireland,</w:t>
      </w:r>
      <w:r w:rsidR="00144C80">
        <w:t xml:space="preserve"> </w:t>
      </w:r>
      <w:r w:rsidRPr="00F67E33">
        <w:t>166 electoral wards have</w:t>
      </w:r>
      <w:r w:rsidR="00144C80">
        <w:t xml:space="preserve"> only</w:t>
      </w:r>
      <w:r w:rsidRPr="00F67E33">
        <w:t xml:space="preserve"> two or more banking services within their boundaries, </w:t>
      </w:r>
      <w:r w:rsidR="00BB7AB3">
        <w:t xml:space="preserve">and </w:t>
      </w:r>
      <w:r w:rsidRPr="00F67E33">
        <w:t>187 have just one banking service and 109 have no banking service at all.</w:t>
      </w:r>
    </w:p>
    <w:p w14:paraId="65AF7587" w14:textId="196D4034" w:rsidR="00D83E2F" w:rsidRDefault="00144C80" w:rsidP="00D83E2F">
      <w:r>
        <w:t>For more than a decade, the United Kingdom has seen a general decline in the use of cash (</w:t>
      </w:r>
      <w:r w:rsidR="00D83E2F" w:rsidRPr="00F67E33">
        <w:t>fallen from over 50% of payments in 2010 to only 17% of all payments in 2020</w:t>
      </w:r>
      <w:r>
        <w:t>)</w:t>
      </w:r>
      <w:r w:rsidR="00D83E2F" w:rsidRPr="00F67E33">
        <w:t>.</w:t>
      </w:r>
      <w:r>
        <w:t xml:space="preserve"> Additionally, a</w:t>
      </w:r>
      <w:r w:rsidR="00D83E2F" w:rsidRPr="00F67E33">
        <w:t xml:space="preserve">n analysis of bank closures across Northern Ireland from 2020 to early 2023 noted that 21% of consumers have seen their local bank close within the last three years. </w:t>
      </w:r>
    </w:p>
    <w:p w14:paraId="4DD59666" w14:textId="487EB1AC" w:rsidR="00144C80" w:rsidRDefault="00144C80" w:rsidP="00144C80">
      <w:pPr>
        <w:rPr>
          <w:lang w:val="en-GB"/>
        </w:rPr>
      </w:pPr>
      <w:r>
        <w:rPr>
          <w:lang w:val="en-GB"/>
        </w:rPr>
        <w:t xml:space="preserve">Furthermore, </w:t>
      </w:r>
      <w:r w:rsidR="00D83E2F" w:rsidRPr="00144C80">
        <w:rPr>
          <w:lang w:val="en-GB"/>
        </w:rPr>
        <w:t xml:space="preserve">FCA research has found that </w:t>
      </w:r>
      <w:r w:rsidR="00D83E2F" w:rsidRPr="00144C80">
        <w:rPr>
          <w:iCs/>
        </w:rPr>
        <w:t>in Northern Ireland</w:t>
      </w:r>
      <w:r w:rsidR="00BB7AB3">
        <w:rPr>
          <w:iCs/>
        </w:rPr>
        <w:t xml:space="preserve"> </w:t>
      </w:r>
      <w:r w:rsidR="00D83E2F" w:rsidRPr="00144C80">
        <w:rPr>
          <w:iCs/>
        </w:rPr>
        <w:t xml:space="preserve">an individual </w:t>
      </w:r>
      <w:r w:rsidR="00BB7AB3">
        <w:rPr>
          <w:iCs/>
        </w:rPr>
        <w:t xml:space="preserve">is </w:t>
      </w:r>
      <w:r w:rsidR="00D83E2F" w:rsidRPr="00144C80">
        <w:rPr>
          <w:iCs/>
        </w:rPr>
        <w:t xml:space="preserve">over twice as likely to rely on cash than a similar individual in England. Additionally, </w:t>
      </w:r>
      <w:r w:rsidR="00D83E2F" w:rsidRPr="00144C80">
        <w:t>not being in employment, being permanently sick/disabled or being retired makes an individual 83% more likely to rely on cash than average.</w:t>
      </w:r>
      <w:r w:rsidR="00F76BA1">
        <w:t xml:space="preserve"> Moreover, </w:t>
      </w:r>
      <w:r w:rsidR="00F76BA1" w:rsidRPr="00144C80">
        <w:rPr>
          <w:bCs/>
          <w:lang w:val="en-GB"/>
        </w:rPr>
        <w:t>digital</w:t>
      </w:r>
      <w:r w:rsidR="00D83E2F" w:rsidRPr="00144C80">
        <w:rPr>
          <w:bCs/>
          <w:lang w:val="en-GB"/>
        </w:rPr>
        <w:t xml:space="preserve"> banking, and in particular</w:t>
      </w:r>
      <w:r w:rsidR="00BB7AB3">
        <w:rPr>
          <w:bCs/>
          <w:lang w:val="en-GB"/>
        </w:rPr>
        <w:t xml:space="preserve"> </w:t>
      </w:r>
      <w:r w:rsidR="00D83E2F" w:rsidRPr="00144C80">
        <w:rPr>
          <w:bCs/>
          <w:lang w:val="en-GB"/>
        </w:rPr>
        <w:t>digital s</w:t>
      </w:r>
      <w:r w:rsidR="00D83E2F" w:rsidRPr="00144C80">
        <w:rPr>
          <w:lang w:val="en-GB"/>
        </w:rPr>
        <w:t>ecurity features such as card readers and passwords</w:t>
      </w:r>
      <w:r w:rsidR="00BB7AB3">
        <w:rPr>
          <w:lang w:val="en-GB"/>
        </w:rPr>
        <w:t>,</w:t>
      </w:r>
      <w:r w:rsidR="00D83E2F" w:rsidRPr="00144C80">
        <w:rPr>
          <w:lang w:val="en-GB"/>
        </w:rPr>
        <w:t xml:space="preserve"> can be difficult for older and disabled people</w:t>
      </w:r>
      <w:r w:rsidR="00F76BA1">
        <w:rPr>
          <w:lang w:val="en-GB"/>
        </w:rPr>
        <w:t xml:space="preserve">. </w:t>
      </w:r>
    </w:p>
    <w:p w14:paraId="4F3DFA73" w14:textId="5D5D54AE" w:rsidR="00D83E2F" w:rsidRPr="00D83E2F" w:rsidRDefault="00F76BA1" w:rsidP="00D83E2F">
      <w:pPr>
        <w:rPr>
          <w:rFonts w:cs="ITC Stone Sans Std Medium"/>
          <w:color w:val="000000"/>
          <w:sz w:val="36"/>
          <w:szCs w:val="32"/>
          <w:lang w:val="en-GB" w:eastAsia="en-GB"/>
        </w:rPr>
      </w:pPr>
      <w:r>
        <w:t xml:space="preserve">In summary, </w:t>
      </w:r>
      <w:r w:rsidR="00BB7AB3">
        <w:t xml:space="preserve">the research examined in this Paper </w:t>
      </w:r>
      <w:r>
        <w:t>paints a bleak picture for those</w:t>
      </w:r>
      <w:r w:rsidR="00BB7AB3">
        <w:t xml:space="preserve"> living</w:t>
      </w:r>
      <w:r>
        <w:t xml:space="preserve"> in Northern Ireland </w:t>
      </w:r>
      <w:r w:rsidR="00BB7AB3">
        <w:t xml:space="preserve">who are </w:t>
      </w:r>
      <w:r>
        <w:t xml:space="preserve">more reliant on cash services. However, new rules under the </w:t>
      </w:r>
      <w:hyperlink r:id="rId38" w:history="1">
        <w:r w:rsidR="00D83E2F" w:rsidRPr="00F67E33">
          <w:rPr>
            <w:rStyle w:val="Hyperlink"/>
            <w:color w:val="auto"/>
            <w:u w:val="none"/>
          </w:rPr>
          <w:t>FSMA 2023</w:t>
        </w:r>
      </w:hyperlink>
      <w:r>
        <w:t>, in operation since September 2024</w:t>
      </w:r>
      <w:r w:rsidR="00BB7AB3">
        <w:t>, empower</w:t>
      </w:r>
      <w:r w:rsidR="00D83E2F" w:rsidRPr="00F67E33">
        <w:t xml:space="preserve"> the F</w:t>
      </w:r>
      <w:r>
        <w:t>CA</w:t>
      </w:r>
      <w:r w:rsidR="00D83E2F" w:rsidRPr="00F67E33">
        <w:t xml:space="preserve"> to regulate </w:t>
      </w:r>
      <w:r>
        <w:t xml:space="preserve">access to </w:t>
      </w:r>
      <w:r w:rsidR="00D83E2F" w:rsidRPr="00F67E33">
        <w:t xml:space="preserve">cash </w:t>
      </w:r>
      <w:r>
        <w:t xml:space="preserve">services across the United </w:t>
      </w:r>
      <w:r>
        <w:lastRenderedPageBreak/>
        <w:t xml:space="preserve">Kingdom. Added to this, the commitment of banks to create </w:t>
      </w:r>
      <w:r w:rsidR="00D83E2F" w:rsidRPr="00F67E33">
        <w:rPr>
          <w:lang w:eastAsia="en-GB"/>
        </w:rPr>
        <w:t xml:space="preserve">up </w:t>
      </w:r>
      <w:r w:rsidR="00BB7AB3">
        <w:rPr>
          <w:lang w:eastAsia="en-GB"/>
        </w:rPr>
        <w:t xml:space="preserve">to </w:t>
      </w:r>
      <w:r w:rsidR="00D83E2F" w:rsidRPr="00F67E33">
        <w:rPr>
          <w:lang w:eastAsia="en-GB"/>
        </w:rPr>
        <w:t>350 banking hubs over the next five years</w:t>
      </w:r>
      <w:r>
        <w:rPr>
          <w:lang w:eastAsia="en-GB"/>
        </w:rPr>
        <w:t xml:space="preserve"> must be welcomed by vulnerable group</w:t>
      </w:r>
      <w:r w:rsidR="00BB7AB3">
        <w:rPr>
          <w:lang w:eastAsia="en-GB"/>
        </w:rPr>
        <w:t>s</w:t>
      </w:r>
      <w:r>
        <w:rPr>
          <w:lang w:eastAsia="en-GB"/>
        </w:rPr>
        <w:t xml:space="preserve"> reliant on access to cash to maintain their financial lives</w:t>
      </w:r>
      <w:r w:rsidR="00BB7AB3">
        <w:rPr>
          <w:lang w:eastAsia="en-GB"/>
        </w:rPr>
        <w:t>, and in turn, all other aspects of their lives</w:t>
      </w:r>
      <w:r>
        <w:rPr>
          <w:lang w:eastAsia="en-GB"/>
        </w:rPr>
        <w:t xml:space="preserve">. </w:t>
      </w:r>
      <w:r w:rsidR="00BB7AB3">
        <w:rPr>
          <w:lang w:val="en-GB" w:eastAsia="en-GB"/>
        </w:rPr>
        <w:t>B</w:t>
      </w:r>
      <w:r w:rsidR="00D83E2F" w:rsidRPr="00F67E33">
        <w:rPr>
          <w:lang w:val="en-GB" w:eastAsia="en-GB"/>
        </w:rPr>
        <w:t xml:space="preserve">anking hubs </w:t>
      </w:r>
      <w:r w:rsidR="00BB7AB3">
        <w:rPr>
          <w:lang w:val="en-GB" w:eastAsia="en-GB"/>
        </w:rPr>
        <w:t xml:space="preserve">currently </w:t>
      </w:r>
      <w:r w:rsidR="00D83E2F" w:rsidRPr="00F67E33">
        <w:rPr>
          <w:lang w:val="en-GB" w:eastAsia="en-GB"/>
        </w:rPr>
        <w:t xml:space="preserve">are planned </w:t>
      </w:r>
      <w:r w:rsidR="00BB7AB3">
        <w:rPr>
          <w:lang w:val="en-GB" w:eastAsia="en-GB"/>
        </w:rPr>
        <w:t>for</w:t>
      </w:r>
      <w:r w:rsidR="00D83E2F" w:rsidRPr="00F67E33">
        <w:rPr>
          <w:lang w:val="en-GB" w:eastAsia="en-GB"/>
        </w:rPr>
        <w:t xml:space="preserve"> Kilkeel, Newcastle, Comber, Warrenpoint and Portrush. However, at the time of writing</w:t>
      </w:r>
      <w:r w:rsidR="00BB7AB3">
        <w:rPr>
          <w:lang w:val="en-GB" w:eastAsia="en-GB"/>
        </w:rPr>
        <w:t>,</w:t>
      </w:r>
      <w:r w:rsidR="00D83E2F" w:rsidRPr="00F67E33">
        <w:rPr>
          <w:lang w:val="en-GB" w:eastAsia="en-GB"/>
        </w:rPr>
        <w:t xml:space="preserve"> only the </w:t>
      </w:r>
      <w:proofErr w:type="spellStart"/>
      <w:r w:rsidR="00D83E2F" w:rsidRPr="00F67E33">
        <w:rPr>
          <w:lang w:val="en-GB" w:eastAsia="en-GB"/>
        </w:rPr>
        <w:t>Kilkeel</w:t>
      </w:r>
      <w:proofErr w:type="spellEnd"/>
      <w:r w:rsidR="00D83E2F" w:rsidRPr="00F67E33">
        <w:rPr>
          <w:lang w:val="en-GB" w:eastAsia="en-GB"/>
        </w:rPr>
        <w:t xml:space="preserve"> </w:t>
      </w:r>
      <w:r w:rsidR="00A15DBC">
        <w:rPr>
          <w:lang w:val="en-GB" w:eastAsia="en-GB"/>
        </w:rPr>
        <w:t xml:space="preserve">and Portrush </w:t>
      </w:r>
      <w:r w:rsidR="00D83E2F" w:rsidRPr="00F67E33">
        <w:rPr>
          <w:lang w:val="en-GB" w:eastAsia="en-GB"/>
        </w:rPr>
        <w:t>hub</w:t>
      </w:r>
      <w:r w:rsidR="00A15DBC">
        <w:rPr>
          <w:lang w:val="en-GB" w:eastAsia="en-GB"/>
        </w:rPr>
        <w:t>s are</w:t>
      </w:r>
      <w:bookmarkStart w:id="8" w:name="_GoBack"/>
      <w:bookmarkEnd w:id="8"/>
      <w:r w:rsidR="00D83E2F" w:rsidRPr="00F67E33">
        <w:rPr>
          <w:lang w:val="en-GB" w:eastAsia="en-GB"/>
        </w:rPr>
        <w:t xml:space="preserve"> operational.</w:t>
      </w:r>
      <w:r>
        <w:rPr>
          <w:lang w:val="en-GB" w:eastAsia="en-GB"/>
        </w:rPr>
        <w:t xml:space="preserve"> Finally, </w:t>
      </w:r>
      <w:r w:rsidR="00D83E2F">
        <w:rPr>
          <w:lang w:val="en-GB" w:eastAsia="en-GB"/>
        </w:rPr>
        <w:t xml:space="preserve">Credit Unions, Mutual and Community banks all have the potential to </w:t>
      </w:r>
      <w:r w:rsidR="00BB7AB3">
        <w:rPr>
          <w:lang w:val="en-GB" w:eastAsia="en-GB"/>
        </w:rPr>
        <w:t xml:space="preserve">help </w:t>
      </w:r>
      <w:r w:rsidR="00D83E2F" w:rsidRPr="00147EB0">
        <w:rPr>
          <w:lang w:val="en-GB"/>
        </w:rPr>
        <w:t xml:space="preserve">maintain </w:t>
      </w:r>
      <w:r w:rsidR="00D83E2F">
        <w:rPr>
          <w:lang w:val="en-GB"/>
        </w:rPr>
        <w:t xml:space="preserve">access to </w:t>
      </w:r>
      <w:r w:rsidR="00D83E2F" w:rsidRPr="00147EB0">
        <w:rPr>
          <w:lang w:val="en-GB"/>
        </w:rPr>
        <w:t xml:space="preserve">cash services </w:t>
      </w:r>
      <w:r w:rsidR="00BB7AB3">
        <w:rPr>
          <w:lang w:val="en-GB"/>
        </w:rPr>
        <w:t xml:space="preserve">for all </w:t>
      </w:r>
      <w:r w:rsidR="00D83E2F" w:rsidRPr="00147EB0">
        <w:rPr>
          <w:lang w:val="en-GB"/>
        </w:rPr>
        <w:t>across</w:t>
      </w:r>
      <w:r w:rsidR="00D83E2F">
        <w:rPr>
          <w:lang w:val="en-GB"/>
        </w:rPr>
        <w:t xml:space="preserve"> Northern Ireland.</w:t>
      </w:r>
      <w:r w:rsidR="00D83E2F" w:rsidRPr="00D83E2F">
        <w:rPr>
          <w:lang w:val="en-GB" w:eastAsia="en-GB"/>
        </w:rPr>
        <w:t xml:space="preserve"> </w:t>
      </w:r>
    </w:p>
    <w:p w14:paraId="26BFD683" w14:textId="28953190" w:rsidR="001F001E" w:rsidRDefault="001F001E" w:rsidP="009879A9">
      <w:pPr>
        <w:rPr>
          <w:lang w:val="en-GB" w:eastAsia="en-GB"/>
        </w:rPr>
      </w:pPr>
    </w:p>
    <w:p w14:paraId="7E9B3035" w14:textId="22956BB9" w:rsidR="001F001E" w:rsidRDefault="001F001E" w:rsidP="009879A9">
      <w:pPr>
        <w:rPr>
          <w:lang w:val="en-GB" w:eastAsia="en-GB"/>
        </w:rPr>
      </w:pPr>
    </w:p>
    <w:p w14:paraId="59526575" w14:textId="490B1DC2" w:rsidR="001F001E" w:rsidRDefault="001F001E" w:rsidP="009879A9">
      <w:pPr>
        <w:rPr>
          <w:lang w:val="en-GB" w:eastAsia="en-GB"/>
        </w:rPr>
      </w:pPr>
    </w:p>
    <w:p w14:paraId="4A8176AA" w14:textId="63B233C5" w:rsidR="001F001E" w:rsidRDefault="001F001E" w:rsidP="009879A9">
      <w:pPr>
        <w:rPr>
          <w:lang w:val="en-GB" w:eastAsia="en-GB"/>
        </w:rPr>
      </w:pPr>
    </w:p>
    <w:p w14:paraId="4678E881" w14:textId="277C71D5" w:rsidR="001F001E" w:rsidRDefault="001F001E" w:rsidP="009879A9">
      <w:pPr>
        <w:rPr>
          <w:lang w:val="en-GB" w:eastAsia="en-GB"/>
        </w:rPr>
      </w:pPr>
    </w:p>
    <w:p w14:paraId="6C27D177" w14:textId="7BE6F072" w:rsidR="001F001E" w:rsidRDefault="001F001E" w:rsidP="009879A9">
      <w:pPr>
        <w:rPr>
          <w:lang w:val="en-GB" w:eastAsia="en-GB"/>
        </w:rPr>
      </w:pPr>
    </w:p>
    <w:p w14:paraId="65A34B16" w14:textId="448466A1" w:rsidR="00A80888" w:rsidRDefault="00A80888" w:rsidP="009879A9">
      <w:pPr>
        <w:rPr>
          <w:lang w:val="en-GB" w:eastAsia="en-GB"/>
        </w:rPr>
      </w:pPr>
    </w:p>
    <w:p w14:paraId="26620DF3" w14:textId="1ABDE67E" w:rsidR="00A80888" w:rsidRDefault="00A80888" w:rsidP="009879A9">
      <w:pPr>
        <w:rPr>
          <w:lang w:val="en-GB" w:eastAsia="en-GB"/>
        </w:rPr>
      </w:pPr>
    </w:p>
    <w:p w14:paraId="024020A1" w14:textId="71308472" w:rsidR="00A80888" w:rsidRDefault="00A80888" w:rsidP="009879A9">
      <w:pPr>
        <w:rPr>
          <w:lang w:val="en-GB" w:eastAsia="en-GB"/>
        </w:rPr>
      </w:pPr>
    </w:p>
    <w:p w14:paraId="6D55FFF3" w14:textId="17490BD6" w:rsidR="00A80888" w:rsidRDefault="00A80888" w:rsidP="009879A9">
      <w:pPr>
        <w:rPr>
          <w:lang w:val="en-GB" w:eastAsia="en-GB"/>
        </w:rPr>
      </w:pPr>
    </w:p>
    <w:p w14:paraId="6857BC46" w14:textId="08DEB7BA" w:rsidR="00A80888" w:rsidRDefault="00A80888" w:rsidP="009879A9">
      <w:pPr>
        <w:rPr>
          <w:lang w:val="en-GB" w:eastAsia="en-GB"/>
        </w:rPr>
      </w:pPr>
    </w:p>
    <w:p w14:paraId="633B1C6E" w14:textId="6DBE9B33" w:rsidR="00A80888" w:rsidRDefault="00A80888" w:rsidP="009879A9">
      <w:pPr>
        <w:rPr>
          <w:lang w:val="en-GB" w:eastAsia="en-GB"/>
        </w:rPr>
      </w:pPr>
    </w:p>
    <w:p w14:paraId="4454DB4E" w14:textId="066E08D8" w:rsidR="00A80888" w:rsidRDefault="00A80888" w:rsidP="009879A9">
      <w:pPr>
        <w:rPr>
          <w:lang w:val="en-GB" w:eastAsia="en-GB"/>
        </w:rPr>
      </w:pPr>
    </w:p>
    <w:p w14:paraId="46560136" w14:textId="77777777" w:rsidR="00A80888" w:rsidRDefault="00A80888" w:rsidP="009879A9">
      <w:pPr>
        <w:rPr>
          <w:lang w:val="en-GB" w:eastAsia="en-GB"/>
        </w:rPr>
      </w:pPr>
    </w:p>
    <w:p w14:paraId="4853CFF0" w14:textId="16E1F05F" w:rsidR="001F001E" w:rsidRDefault="001F001E" w:rsidP="009879A9">
      <w:pPr>
        <w:rPr>
          <w:lang w:val="en-GB" w:eastAsia="en-GB"/>
        </w:rPr>
      </w:pPr>
    </w:p>
    <w:p w14:paraId="74CF211C" w14:textId="49361CA4" w:rsidR="00AE60E4" w:rsidRDefault="00AE60E4" w:rsidP="009879A9">
      <w:pPr>
        <w:rPr>
          <w:lang w:val="en-GB" w:eastAsia="en-GB"/>
        </w:rPr>
      </w:pPr>
    </w:p>
    <w:p w14:paraId="3BF5A7F4" w14:textId="5A391674" w:rsidR="00AE60E4" w:rsidRDefault="00AE60E4" w:rsidP="009879A9">
      <w:pPr>
        <w:rPr>
          <w:lang w:val="en-GB" w:eastAsia="en-GB"/>
        </w:rPr>
      </w:pPr>
    </w:p>
    <w:p w14:paraId="5B1F3FAC" w14:textId="58DA9A07" w:rsidR="00AE60E4" w:rsidRDefault="00AE60E4" w:rsidP="009879A9">
      <w:pPr>
        <w:rPr>
          <w:lang w:val="en-GB" w:eastAsia="en-GB"/>
        </w:rPr>
      </w:pPr>
    </w:p>
    <w:p w14:paraId="2170F1FD" w14:textId="699E7950" w:rsidR="000F23E8" w:rsidRPr="00AD3F76" w:rsidRDefault="000F23E8" w:rsidP="000F23E8">
      <w:pPr>
        <w:pStyle w:val="UnnumberedHeading4"/>
      </w:pPr>
      <w:r>
        <w:lastRenderedPageBreak/>
        <w:t>Appendix 1: Invest Northern Ireland Overview of Financial Services</w:t>
      </w:r>
    </w:p>
    <w:p w14:paraId="04D02759" w14:textId="50EDE21A" w:rsidR="00AE7915" w:rsidRPr="00AE7915" w:rsidRDefault="000F23E8" w:rsidP="00CE1E8B">
      <w:pPr>
        <w:numPr>
          <w:ilvl w:val="0"/>
          <w:numId w:val="16"/>
        </w:numPr>
        <w:rPr>
          <w:b/>
          <w:sz w:val="20"/>
          <w:szCs w:val="20"/>
          <w:lang w:val="en-GB" w:eastAsia="en-GB"/>
        </w:rPr>
      </w:pPr>
      <w:r w:rsidRPr="00AE7915">
        <w:rPr>
          <w:lang w:val="en-GB" w:eastAsia="en-GB"/>
        </w:rPr>
        <w:t xml:space="preserve">Table </w:t>
      </w:r>
      <w:r w:rsidR="00B75E75" w:rsidRPr="00287037">
        <w:rPr>
          <w:lang w:val="en-GB" w:eastAsia="en-GB"/>
        </w:rPr>
        <w:t>3</w:t>
      </w:r>
      <w:r w:rsidR="00B75E75" w:rsidRPr="00AE7915">
        <w:rPr>
          <w:lang w:val="en-GB" w:eastAsia="en-GB"/>
        </w:rPr>
        <w:t xml:space="preserve"> </w:t>
      </w:r>
      <w:r w:rsidRPr="00AE7915">
        <w:rPr>
          <w:lang w:val="en-GB" w:eastAsia="en-GB"/>
        </w:rPr>
        <w:t>below presents a summary of the Invest Northern Ireland overview of financial services in Northern Ireland</w:t>
      </w:r>
      <w:r w:rsidR="00AD26A8">
        <w:rPr>
          <w:lang w:val="en-GB" w:eastAsia="en-GB"/>
        </w:rPr>
        <w:t>:</w:t>
      </w:r>
    </w:p>
    <w:p w14:paraId="74DF4D2F" w14:textId="31076C3D" w:rsidR="000F23E8" w:rsidRPr="00AE7915" w:rsidRDefault="000F23E8" w:rsidP="00CE1E8B">
      <w:pPr>
        <w:numPr>
          <w:ilvl w:val="0"/>
          <w:numId w:val="16"/>
        </w:numPr>
        <w:rPr>
          <w:b/>
          <w:sz w:val="20"/>
          <w:szCs w:val="20"/>
          <w:lang w:val="en-GB" w:eastAsia="en-GB"/>
        </w:rPr>
      </w:pPr>
      <w:r w:rsidRPr="00AE7915">
        <w:rPr>
          <w:b/>
          <w:sz w:val="20"/>
          <w:szCs w:val="20"/>
          <w:lang w:val="en-GB" w:eastAsia="en-GB"/>
        </w:rPr>
        <w:t>Table 3: Financial Services in Northern Ireland</w:t>
      </w:r>
      <w:r>
        <w:rPr>
          <w:rStyle w:val="FootnoteReference"/>
          <w:b/>
          <w:sz w:val="20"/>
          <w:szCs w:val="20"/>
          <w:lang w:val="en-GB" w:eastAsia="en-GB"/>
        </w:rPr>
        <w:footnoteReference w:id="37"/>
      </w:r>
    </w:p>
    <w:tbl>
      <w:tblPr>
        <w:tblStyle w:val="TableGrid"/>
        <w:tblW w:w="0" w:type="auto"/>
        <w:tblInd w:w="567" w:type="dxa"/>
        <w:tblLook w:val="04A0" w:firstRow="1" w:lastRow="0" w:firstColumn="1" w:lastColumn="0" w:noHBand="0" w:noVBand="1"/>
      </w:tblPr>
      <w:tblGrid>
        <w:gridCol w:w="1583"/>
        <w:gridCol w:w="2249"/>
        <w:gridCol w:w="4661"/>
      </w:tblGrid>
      <w:tr w:rsidR="000F23E8" w14:paraId="3615CFF7" w14:textId="77777777" w:rsidTr="00D4168A">
        <w:tc>
          <w:tcPr>
            <w:tcW w:w="1617" w:type="dxa"/>
            <w:shd w:val="clear" w:color="auto" w:fill="95B3D7" w:themeFill="accent1" w:themeFillTint="99"/>
          </w:tcPr>
          <w:p w14:paraId="35A0EB8D" w14:textId="77777777" w:rsidR="000F23E8" w:rsidRPr="002B0BE2" w:rsidRDefault="000F23E8" w:rsidP="00D4168A">
            <w:pPr>
              <w:pStyle w:val="TableText-ColumnHeading"/>
              <w:rPr>
                <w:sz w:val="22"/>
                <w:szCs w:val="22"/>
              </w:rPr>
            </w:pPr>
            <w:r w:rsidRPr="002B0BE2">
              <w:rPr>
                <w:sz w:val="22"/>
                <w:szCs w:val="22"/>
              </w:rPr>
              <w:t>Financial Sector</w:t>
            </w:r>
          </w:p>
        </w:tc>
        <w:tc>
          <w:tcPr>
            <w:tcW w:w="3056" w:type="dxa"/>
            <w:shd w:val="clear" w:color="auto" w:fill="8DB3E2" w:themeFill="text2" w:themeFillTint="66"/>
          </w:tcPr>
          <w:p w14:paraId="79795437" w14:textId="77777777" w:rsidR="000F23E8" w:rsidRPr="002B0BE2" w:rsidRDefault="000F23E8" w:rsidP="00D4168A">
            <w:pPr>
              <w:pStyle w:val="TableText-ColumnHeading"/>
              <w:rPr>
                <w:sz w:val="22"/>
                <w:szCs w:val="22"/>
              </w:rPr>
            </w:pPr>
            <w:r w:rsidRPr="002B0BE2">
              <w:rPr>
                <w:sz w:val="22"/>
                <w:szCs w:val="22"/>
              </w:rPr>
              <w:t>Area of expertise</w:t>
            </w:r>
          </w:p>
        </w:tc>
        <w:tc>
          <w:tcPr>
            <w:tcW w:w="8222" w:type="dxa"/>
            <w:shd w:val="clear" w:color="auto" w:fill="8DB3E2" w:themeFill="text2" w:themeFillTint="66"/>
          </w:tcPr>
          <w:p w14:paraId="3EA0B392" w14:textId="77777777" w:rsidR="000F23E8" w:rsidRPr="002B0BE2" w:rsidRDefault="000F23E8" w:rsidP="00D4168A">
            <w:pPr>
              <w:pStyle w:val="TableText-ColumnHeading"/>
              <w:rPr>
                <w:i/>
                <w:sz w:val="22"/>
                <w:szCs w:val="22"/>
              </w:rPr>
            </w:pPr>
            <w:r w:rsidRPr="002B0BE2">
              <w:rPr>
                <w:sz w:val="22"/>
                <w:szCs w:val="22"/>
              </w:rPr>
              <w:t>Invest Northern Ireland Commentary</w:t>
            </w:r>
          </w:p>
        </w:tc>
      </w:tr>
      <w:tr w:rsidR="000F23E8" w14:paraId="203158ED" w14:textId="77777777" w:rsidTr="00D4168A">
        <w:tc>
          <w:tcPr>
            <w:tcW w:w="1617" w:type="dxa"/>
            <w:shd w:val="clear" w:color="auto" w:fill="95B3D7" w:themeFill="accent1" w:themeFillTint="99"/>
          </w:tcPr>
          <w:p w14:paraId="7DD80E18" w14:textId="77777777" w:rsidR="000F23E8" w:rsidRPr="002B0BE2" w:rsidRDefault="000F23E8" w:rsidP="00D4168A">
            <w:pPr>
              <w:pStyle w:val="TableText-ColumnHeading"/>
              <w:rPr>
                <w:sz w:val="22"/>
                <w:szCs w:val="22"/>
              </w:rPr>
            </w:pPr>
            <w:r w:rsidRPr="002B0BE2">
              <w:rPr>
                <w:sz w:val="22"/>
                <w:szCs w:val="22"/>
              </w:rPr>
              <w:t>Fintech</w:t>
            </w:r>
          </w:p>
        </w:tc>
        <w:tc>
          <w:tcPr>
            <w:tcW w:w="3056" w:type="dxa"/>
          </w:tcPr>
          <w:p w14:paraId="64A1A6FA" w14:textId="77777777" w:rsidR="000F23E8" w:rsidRPr="002B0BE2" w:rsidRDefault="000F23E8" w:rsidP="00D4168A">
            <w:pPr>
              <w:pStyle w:val="TableText-ColumnHeading"/>
              <w:rPr>
                <w:bCs/>
                <w:sz w:val="22"/>
                <w:szCs w:val="22"/>
              </w:rPr>
            </w:pPr>
            <w:r w:rsidRPr="002B0BE2">
              <w:rPr>
                <w:bCs/>
                <w:sz w:val="22"/>
                <w:szCs w:val="22"/>
              </w:rPr>
              <w:t>Banking and capital markets technology</w:t>
            </w:r>
          </w:p>
          <w:p w14:paraId="288FB331" w14:textId="77777777" w:rsidR="000F23E8" w:rsidRPr="002B0BE2" w:rsidRDefault="000F23E8" w:rsidP="00D4168A">
            <w:pPr>
              <w:pStyle w:val="TableText-ColumnHeading"/>
              <w:rPr>
                <w:bCs/>
                <w:sz w:val="22"/>
                <w:szCs w:val="22"/>
              </w:rPr>
            </w:pPr>
            <w:r w:rsidRPr="002B0BE2">
              <w:rPr>
                <w:bCs/>
                <w:sz w:val="22"/>
                <w:szCs w:val="22"/>
              </w:rPr>
              <w:t>Data analytics and AI</w:t>
            </w:r>
          </w:p>
          <w:p w14:paraId="2BDA27A2" w14:textId="77777777" w:rsidR="000F23E8" w:rsidRPr="002B0BE2" w:rsidRDefault="000F23E8" w:rsidP="00D4168A">
            <w:pPr>
              <w:pStyle w:val="TableText-ColumnHeading"/>
              <w:rPr>
                <w:bCs/>
                <w:sz w:val="22"/>
                <w:szCs w:val="22"/>
              </w:rPr>
            </w:pPr>
            <w:r w:rsidRPr="002B0BE2">
              <w:rPr>
                <w:bCs/>
                <w:sz w:val="22"/>
                <w:szCs w:val="22"/>
              </w:rPr>
              <w:t>Payments and accounts</w:t>
            </w:r>
          </w:p>
          <w:p w14:paraId="6B2F3A9B" w14:textId="77777777" w:rsidR="000F23E8" w:rsidRPr="002B0BE2" w:rsidRDefault="000F23E8" w:rsidP="00D4168A">
            <w:pPr>
              <w:pStyle w:val="TableText-ColumnHeading"/>
              <w:rPr>
                <w:bCs/>
                <w:sz w:val="22"/>
                <w:szCs w:val="22"/>
              </w:rPr>
            </w:pPr>
            <w:r w:rsidRPr="002B0BE2">
              <w:rPr>
                <w:bCs/>
                <w:sz w:val="22"/>
                <w:szCs w:val="22"/>
              </w:rPr>
              <w:t>Cyber security</w:t>
            </w:r>
          </w:p>
        </w:tc>
        <w:tc>
          <w:tcPr>
            <w:tcW w:w="8222" w:type="dxa"/>
          </w:tcPr>
          <w:p w14:paraId="0DE83476" w14:textId="77777777" w:rsidR="000F23E8" w:rsidRPr="002B0BE2" w:rsidRDefault="000F23E8" w:rsidP="00D4168A">
            <w:pPr>
              <w:pStyle w:val="TableText"/>
              <w:rPr>
                <w:i/>
                <w:sz w:val="22"/>
                <w:szCs w:val="22"/>
              </w:rPr>
            </w:pPr>
            <w:r w:rsidRPr="002B0BE2">
              <w:rPr>
                <w:i/>
                <w:sz w:val="22"/>
                <w:szCs w:val="22"/>
              </w:rPr>
              <w:t>Belfast is the world’s number 1 investment location for financial services technology inward investment projects. (fDi Markets FT, 2023).Highest concentration of fintech employment in the UK - 1 in 5 people working across financial services and tech is working in fintech. (NI Fintech Ecosystem Report, 2020)</w:t>
            </w:r>
            <w:r>
              <w:rPr>
                <w:i/>
                <w:sz w:val="22"/>
                <w:szCs w:val="22"/>
              </w:rPr>
              <w:t xml:space="preserve">. </w:t>
            </w:r>
            <w:r w:rsidRPr="002B0BE2">
              <w:rPr>
                <w:i/>
                <w:sz w:val="22"/>
                <w:szCs w:val="22"/>
              </w:rPr>
              <w:t>Belfast is ranked in the top 3 Global Fintech locations of the future after London and Singapore. (fDi Intelligence Fintech locations of the Future 2019/20)</w:t>
            </w:r>
            <w:r>
              <w:rPr>
                <w:i/>
                <w:sz w:val="22"/>
                <w:szCs w:val="22"/>
              </w:rPr>
              <w:t>.</w:t>
            </w:r>
          </w:p>
        </w:tc>
      </w:tr>
      <w:tr w:rsidR="000F23E8" w14:paraId="419C8D25" w14:textId="77777777" w:rsidTr="00D4168A">
        <w:tc>
          <w:tcPr>
            <w:tcW w:w="1617" w:type="dxa"/>
            <w:shd w:val="clear" w:color="auto" w:fill="95B3D7" w:themeFill="accent1" w:themeFillTint="99"/>
          </w:tcPr>
          <w:p w14:paraId="202D4F92" w14:textId="77777777" w:rsidR="000F23E8" w:rsidRPr="002B0BE2" w:rsidRDefault="000F23E8" w:rsidP="00D4168A">
            <w:pPr>
              <w:pStyle w:val="TableText-ColumnHeading"/>
              <w:rPr>
                <w:sz w:val="22"/>
                <w:szCs w:val="22"/>
              </w:rPr>
            </w:pPr>
            <w:r w:rsidRPr="002B0BE2">
              <w:rPr>
                <w:sz w:val="22"/>
                <w:szCs w:val="22"/>
              </w:rPr>
              <w:t>Asset and Wealth Management</w:t>
            </w:r>
          </w:p>
        </w:tc>
        <w:tc>
          <w:tcPr>
            <w:tcW w:w="3056" w:type="dxa"/>
          </w:tcPr>
          <w:p w14:paraId="055254DB" w14:textId="77777777" w:rsidR="000F23E8" w:rsidRPr="002B0BE2" w:rsidRDefault="000F23E8" w:rsidP="00D4168A">
            <w:pPr>
              <w:pStyle w:val="TableText-ColumnHeading"/>
              <w:rPr>
                <w:bCs/>
                <w:sz w:val="22"/>
                <w:szCs w:val="22"/>
              </w:rPr>
            </w:pPr>
            <w:r w:rsidRPr="002B0BE2">
              <w:rPr>
                <w:bCs/>
                <w:sz w:val="22"/>
                <w:szCs w:val="22"/>
              </w:rPr>
              <w:t>Wealth management</w:t>
            </w:r>
          </w:p>
          <w:p w14:paraId="428E0D9B" w14:textId="77777777" w:rsidR="000F23E8" w:rsidRPr="002B0BE2" w:rsidRDefault="000F23E8" w:rsidP="00D4168A">
            <w:pPr>
              <w:pStyle w:val="TableText-ColumnHeading"/>
              <w:rPr>
                <w:bCs/>
                <w:sz w:val="22"/>
                <w:szCs w:val="22"/>
              </w:rPr>
            </w:pPr>
            <w:r w:rsidRPr="002B0BE2">
              <w:rPr>
                <w:bCs/>
                <w:sz w:val="22"/>
                <w:szCs w:val="22"/>
              </w:rPr>
              <w:t>Actuarial services</w:t>
            </w:r>
          </w:p>
          <w:p w14:paraId="5EACC80D" w14:textId="77777777" w:rsidR="000F23E8" w:rsidRPr="002B0BE2" w:rsidRDefault="000F23E8" w:rsidP="00D4168A">
            <w:pPr>
              <w:pStyle w:val="TableText-ColumnHeading"/>
              <w:rPr>
                <w:bCs/>
                <w:sz w:val="22"/>
                <w:szCs w:val="22"/>
              </w:rPr>
            </w:pPr>
            <w:r w:rsidRPr="002B0BE2">
              <w:rPr>
                <w:bCs/>
                <w:sz w:val="22"/>
                <w:szCs w:val="22"/>
              </w:rPr>
              <w:t>Fund administration</w:t>
            </w:r>
          </w:p>
        </w:tc>
        <w:tc>
          <w:tcPr>
            <w:tcW w:w="8222" w:type="dxa"/>
          </w:tcPr>
          <w:p w14:paraId="25838546" w14:textId="77777777" w:rsidR="000F23E8" w:rsidRPr="002B0BE2" w:rsidRDefault="000F23E8" w:rsidP="00D4168A">
            <w:pPr>
              <w:pStyle w:val="TableText"/>
              <w:rPr>
                <w:i/>
                <w:sz w:val="22"/>
                <w:szCs w:val="22"/>
              </w:rPr>
            </w:pPr>
            <w:r w:rsidRPr="002B0BE2">
              <w:rPr>
                <w:i/>
                <w:sz w:val="22"/>
                <w:szCs w:val="22"/>
              </w:rPr>
              <w:t>Home to a cluster of global wealth management, pensions and actuarial service providers.</w:t>
            </w:r>
            <w:r>
              <w:rPr>
                <w:i/>
                <w:sz w:val="22"/>
                <w:szCs w:val="22"/>
              </w:rPr>
              <w:t xml:space="preserve"> </w:t>
            </w:r>
            <w:r w:rsidRPr="002B0BE2">
              <w:rPr>
                <w:i/>
                <w:sz w:val="22"/>
                <w:szCs w:val="22"/>
              </w:rPr>
              <w:t>As part of the UK, Northern Ireland operates within its globally respected and robust regulatory framework. At the same time being located on the island of Ireland has also allowed Northern Ireland easier access to the Irish Financial Services market and enables the region to provide support services to firms in the International Financial Services Centre. Fund administration and depositary services firms including IQ-EQ and Ocorian, deliver fund accounting and admin, client services and compliance for on-shore and off-shore clients.</w:t>
            </w:r>
            <w:r>
              <w:rPr>
                <w:i/>
                <w:sz w:val="22"/>
                <w:szCs w:val="22"/>
              </w:rPr>
              <w:t xml:space="preserve"> </w:t>
            </w:r>
            <w:r w:rsidRPr="002B0BE2">
              <w:rPr>
                <w:i/>
                <w:sz w:val="22"/>
                <w:szCs w:val="22"/>
              </w:rPr>
              <w:t>Herbert Smith Freehills and A&amp;L Goodbody deliver a wide range of legal services and advice to clients in the funds and asset management space from Belfast.</w:t>
            </w:r>
          </w:p>
        </w:tc>
      </w:tr>
      <w:tr w:rsidR="000F23E8" w14:paraId="25AB200D" w14:textId="77777777" w:rsidTr="00D4168A">
        <w:tc>
          <w:tcPr>
            <w:tcW w:w="1617" w:type="dxa"/>
            <w:shd w:val="clear" w:color="auto" w:fill="95B3D7" w:themeFill="accent1" w:themeFillTint="99"/>
          </w:tcPr>
          <w:p w14:paraId="2DDF9F8E" w14:textId="77777777" w:rsidR="000F23E8" w:rsidRPr="002B0BE2" w:rsidRDefault="000F23E8" w:rsidP="00D4168A">
            <w:pPr>
              <w:pStyle w:val="TableText-ColumnHeading"/>
              <w:rPr>
                <w:sz w:val="22"/>
                <w:szCs w:val="22"/>
              </w:rPr>
            </w:pPr>
            <w:r w:rsidRPr="002B0BE2">
              <w:rPr>
                <w:sz w:val="22"/>
                <w:szCs w:val="22"/>
              </w:rPr>
              <w:lastRenderedPageBreak/>
              <w:t>Banking and Capital Markets</w:t>
            </w:r>
          </w:p>
        </w:tc>
        <w:tc>
          <w:tcPr>
            <w:tcW w:w="3056" w:type="dxa"/>
          </w:tcPr>
          <w:p w14:paraId="76F8DFA0" w14:textId="77777777" w:rsidR="000F23E8" w:rsidRPr="002B0BE2" w:rsidRDefault="000F23E8" w:rsidP="00D4168A">
            <w:pPr>
              <w:pStyle w:val="TableText-ColumnHeading"/>
              <w:rPr>
                <w:bCs/>
                <w:sz w:val="22"/>
                <w:szCs w:val="22"/>
              </w:rPr>
            </w:pPr>
            <w:r w:rsidRPr="002B0BE2">
              <w:rPr>
                <w:bCs/>
                <w:sz w:val="22"/>
                <w:szCs w:val="22"/>
              </w:rPr>
              <w:t xml:space="preserve">Trading and banking technologies </w:t>
            </w:r>
          </w:p>
          <w:p w14:paraId="44A8038C" w14:textId="77777777" w:rsidR="000F23E8" w:rsidRPr="002B0BE2" w:rsidRDefault="000F23E8" w:rsidP="00D4168A">
            <w:pPr>
              <w:pStyle w:val="TableText-ColumnHeading"/>
              <w:rPr>
                <w:bCs/>
                <w:sz w:val="22"/>
                <w:szCs w:val="22"/>
              </w:rPr>
            </w:pPr>
            <w:r w:rsidRPr="002B0BE2">
              <w:rPr>
                <w:bCs/>
                <w:sz w:val="22"/>
                <w:szCs w:val="22"/>
              </w:rPr>
              <w:t xml:space="preserve">Risk management </w:t>
            </w:r>
          </w:p>
          <w:p w14:paraId="7C9CE69A" w14:textId="77777777" w:rsidR="000F23E8" w:rsidRPr="002B0BE2" w:rsidRDefault="000F23E8" w:rsidP="00D4168A">
            <w:pPr>
              <w:pStyle w:val="TableText-ColumnHeading"/>
              <w:rPr>
                <w:bCs/>
                <w:sz w:val="22"/>
                <w:szCs w:val="22"/>
              </w:rPr>
            </w:pPr>
            <w:r w:rsidRPr="002B0BE2">
              <w:rPr>
                <w:bCs/>
                <w:sz w:val="22"/>
                <w:szCs w:val="22"/>
              </w:rPr>
              <w:t>Regtech</w:t>
            </w:r>
          </w:p>
          <w:p w14:paraId="2A478C7F" w14:textId="77777777" w:rsidR="000F23E8" w:rsidRPr="002B0BE2" w:rsidRDefault="000F23E8" w:rsidP="00D4168A">
            <w:pPr>
              <w:pStyle w:val="TableText-ColumnHeading"/>
              <w:rPr>
                <w:bCs/>
                <w:sz w:val="22"/>
                <w:szCs w:val="22"/>
              </w:rPr>
            </w:pPr>
            <w:r w:rsidRPr="002B0BE2">
              <w:rPr>
                <w:bCs/>
                <w:sz w:val="22"/>
                <w:szCs w:val="22"/>
              </w:rPr>
              <w:t>Data analytics and AI Broking services</w:t>
            </w:r>
          </w:p>
        </w:tc>
        <w:tc>
          <w:tcPr>
            <w:tcW w:w="8222" w:type="dxa"/>
          </w:tcPr>
          <w:p w14:paraId="15E5A301" w14:textId="77777777" w:rsidR="000F23E8" w:rsidRPr="002B0BE2" w:rsidRDefault="000F23E8" w:rsidP="00D4168A">
            <w:pPr>
              <w:pStyle w:val="TableText"/>
              <w:rPr>
                <w:i/>
                <w:sz w:val="22"/>
                <w:szCs w:val="22"/>
              </w:rPr>
            </w:pPr>
            <w:r w:rsidRPr="002B0BE2">
              <w:rPr>
                <w:i/>
                <w:sz w:val="22"/>
                <w:szCs w:val="22"/>
              </w:rPr>
              <w:t xml:space="preserve">Over 10,500 people employed in banking and capital markets. Global banks including Santander, BNP Paribas and Lloyds Banking Group have long-established customer service operations in Northern Ireland. Deep expertise in trading and banking technologies - over 2,000 software engineers and systems architects are developing trading technology platforms for global capital markets. Both Queen’s University Belfast and Ulster University have trading rooms in collaboration with financial industry partners, offering dynamic learning environments for students to build skills and capabilities under real-time trading conditions. </w:t>
            </w:r>
            <w:r w:rsidRPr="002B0BE2">
              <w:rPr>
                <w:i/>
                <w:sz w:val="22"/>
                <w:szCs w:val="22"/>
                <w:lang w:val="en-US"/>
              </w:rPr>
              <w:t>Northern Ireland-based companies are providing consulting services and solutions to Tier 1 investment banks across the globe, in a range of areas including risk and compliance, legal services and innovative technology.</w:t>
            </w:r>
          </w:p>
        </w:tc>
      </w:tr>
      <w:tr w:rsidR="000F23E8" w14:paraId="045DBC9A" w14:textId="77777777" w:rsidTr="00D4168A">
        <w:tc>
          <w:tcPr>
            <w:tcW w:w="1617" w:type="dxa"/>
            <w:shd w:val="clear" w:color="auto" w:fill="95B3D7" w:themeFill="accent1" w:themeFillTint="99"/>
          </w:tcPr>
          <w:p w14:paraId="30F95F87" w14:textId="77777777" w:rsidR="000F23E8" w:rsidRPr="002B0BE2" w:rsidRDefault="000F23E8" w:rsidP="00D4168A">
            <w:pPr>
              <w:pStyle w:val="TableText-ColumnHeading"/>
              <w:rPr>
                <w:sz w:val="22"/>
                <w:szCs w:val="22"/>
              </w:rPr>
            </w:pPr>
            <w:r w:rsidRPr="002B0BE2">
              <w:rPr>
                <w:sz w:val="22"/>
                <w:szCs w:val="22"/>
              </w:rPr>
              <w:t>Governance, risk and compliance</w:t>
            </w:r>
          </w:p>
        </w:tc>
        <w:tc>
          <w:tcPr>
            <w:tcW w:w="3056" w:type="dxa"/>
          </w:tcPr>
          <w:p w14:paraId="69D2787C" w14:textId="77777777" w:rsidR="000F23E8" w:rsidRPr="002B0BE2" w:rsidRDefault="000F23E8" w:rsidP="00D4168A">
            <w:pPr>
              <w:pStyle w:val="TableText-ColumnHeading"/>
              <w:rPr>
                <w:bCs/>
                <w:sz w:val="22"/>
                <w:szCs w:val="22"/>
              </w:rPr>
            </w:pPr>
            <w:r w:rsidRPr="002B0BE2">
              <w:rPr>
                <w:bCs/>
                <w:sz w:val="22"/>
                <w:szCs w:val="22"/>
              </w:rPr>
              <w:t>Risk management</w:t>
            </w:r>
          </w:p>
          <w:p w14:paraId="4A6520F6" w14:textId="77777777" w:rsidR="000F23E8" w:rsidRPr="002B0BE2" w:rsidRDefault="000F23E8" w:rsidP="00D4168A">
            <w:pPr>
              <w:pStyle w:val="TableText-ColumnHeading"/>
              <w:rPr>
                <w:bCs/>
                <w:sz w:val="22"/>
                <w:szCs w:val="22"/>
              </w:rPr>
            </w:pPr>
            <w:r w:rsidRPr="002B0BE2">
              <w:rPr>
                <w:bCs/>
                <w:sz w:val="22"/>
                <w:szCs w:val="22"/>
              </w:rPr>
              <w:t>Anti-Money Laundering (AML) and Know Your Customer (KYC) processes</w:t>
            </w:r>
          </w:p>
          <w:p w14:paraId="24AE5722" w14:textId="77777777" w:rsidR="000F23E8" w:rsidRPr="002B0BE2" w:rsidRDefault="000F23E8" w:rsidP="00D4168A">
            <w:pPr>
              <w:pStyle w:val="TableText-ColumnHeading"/>
              <w:rPr>
                <w:bCs/>
                <w:sz w:val="22"/>
                <w:szCs w:val="22"/>
              </w:rPr>
            </w:pPr>
            <w:r w:rsidRPr="002B0BE2">
              <w:rPr>
                <w:bCs/>
                <w:sz w:val="22"/>
                <w:szCs w:val="22"/>
              </w:rPr>
              <w:t>Regulatory compliance</w:t>
            </w:r>
          </w:p>
        </w:tc>
        <w:tc>
          <w:tcPr>
            <w:tcW w:w="8222" w:type="dxa"/>
          </w:tcPr>
          <w:p w14:paraId="4F517E0E" w14:textId="77777777" w:rsidR="000F23E8" w:rsidRPr="002B0BE2" w:rsidRDefault="000F23E8" w:rsidP="00D4168A">
            <w:pPr>
              <w:pStyle w:val="TableText"/>
              <w:rPr>
                <w:sz w:val="22"/>
                <w:szCs w:val="22"/>
              </w:rPr>
            </w:pPr>
            <w:r w:rsidRPr="002B0BE2">
              <w:rPr>
                <w:i/>
                <w:sz w:val="22"/>
                <w:szCs w:val="22"/>
              </w:rPr>
              <w:t>A strong cluster of companies developing and delivering governance, risk and compliance (GRC) technology solutions for the global banking, asset management and payments industries.Compliance teams and RegTech providers have developed deep expertise in a range of international regulations including MiFID, AIFMD, EMIR, FATCA and GDPR.</w:t>
            </w:r>
            <w:r>
              <w:rPr>
                <w:i/>
                <w:sz w:val="22"/>
                <w:szCs w:val="22"/>
              </w:rPr>
              <w:t xml:space="preserve"> </w:t>
            </w:r>
            <w:r w:rsidRPr="002B0BE2">
              <w:rPr>
                <w:i/>
                <w:sz w:val="22"/>
                <w:szCs w:val="22"/>
              </w:rPr>
              <w:t>A hub for AML/KYC, with significant regulatory risk and financial crime teams, as well as teams who specialise in ISDA negotiation, trade surveillance and disclosures.</w:t>
            </w:r>
          </w:p>
        </w:tc>
      </w:tr>
      <w:tr w:rsidR="000F23E8" w14:paraId="6B347506" w14:textId="77777777" w:rsidTr="00D4168A">
        <w:tc>
          <w:tcPr>
            <w:tcW w:w="1617" w:type="dxa"/>
            <w:shd w:val="clear" w:color="auto" w:fill="95B3D7" w:themeFill="accent1" w:themeFillTint="99"/>
          </w:tcPr>
          <w:p w14:paraId="1B19076F" w14:textId="77777777" w:rsidR="000F23E8" w:rsidRPr="002B0BE2" w:rsidRDefault="000F23E8" w:rsidP="00D4168A">
            <w:pPr>
              <w:pStyle w:val="TableText-ColumnHeading"/>
              <w:rPr>
                <w:sz w:val="22"/>
                <w:szCs w:val="22"/>
              </w:rPr>
            </w:pPr>
            <w:r w:rsidRPr="002B0BE2">
              <w:rPr>
                <w:sz w:val="22"/>
                <w:szCs w:val="22"/>
              </w:rPr>
              <w:t>Insurance and Assurance</w:t>
            </w:r>
          </w:p>
        </w:tc>
        <w:tc>
          <w:tcPr>
            <w:tcW w:w="3056" w:type="dxa"/>
          </w:tcPr>
          <w:p w14:paraId="2A3EFC9A" w14:textId="77777777" w:rsidR="000F23E8" w:rsidRPr="002B0BE2" w:rsidRDefault="000F23E8" w:rsidP="00D4168A">
            <w:pPr>
              <w:pStyle w:val="TableText-ColumnHeading"/>
              <w:rPr>
                <w:bCs/>
                <w:sz w:val="22"/>
                <w:szCs w:val="22"/>
              </w:rPr>
            </w:pPr>
            <w:r w:rsidRPr="002B0BE2">
              <w:rPr>
                <w:bCs/>
                <w:sz w:val="22"/>
                <w:szCs w:val="22"/>
              </w:rPr>
              <w:t>Customer service</w:t>
            </w:r>
          </w:p>
          <w:p w14:paraId="4D6D5A2A" w14:textId="77777777" w:rsidR="000F23E8" w:rsidRPr="002B0BE2" w:rsidRDefault="000F23E8" w:rsidP="00D4168A">
            <w:pPr>
              <w:pStyle w:val="TableText-ColumnHeading"/>
              <w:rPr>
                <w:bCs/>
                <w:sz w:val="22"/>
                <w:szCs w:val="22"/>
              </w:rPr>
            </w:pPr>
            <w:r w:rsidRPr="002B0BE2">
              <w:rPr>
                <w:bCs/>
                <w:sz w:val="22"/>
                <w:szCs w:val="22"/>
              </w:rPr>
              <w:t>Brokering</w:t>
            </w:r>
          </w:p>
          <w:p w14:paraId="7728DC44" w14:textId="77777777" w:rsidR="000F23E8" w:rsidRPr="002B0BE2" w:rsidRDefault="000F23E8" w:rsidP="00D4168A">
            <w:pPr>
              <w:pStyle w:val="TableText-ColumnHeading"/>
              <w:rPr>
                <w:bCs/>
                <w:sz w:val="22"/>
                <w:szCs w:val="22"/>
              </w:rPr>
            </w:pPr>
            <w:r w:rsidRPr="002B0BE2">
              <w:rPr>
                <w:bCs/>
                <w:sz w:val="22"/>
                <w:szCs w:val="22"/>
              </w:rPr>
              <w:t>Underwriting</w:t>
            </w:r>
          </w:p>
          <w:p w14:paraId="759702D4" w14:textId="77777777" w:rsidR="000F23E8" w:rsidRPr="002B0BE2" w:rsidRDefault="000F23E8" w:rsidP="00D4168A">
            <w:pPr>
              <w:pStyle w:val="TableText-ColumnHeading"/>
              <w:rPr>
                <w:bCs/>
                <w:sz w:val="22"/>
                <w:szCs w:val="22"/>
              </w:rPr>
            </w:pPr>
            <w:r w:rsidRPr="002B0BE2">
              <w:rPr>
                <w:bCs/>
                <w:sz w:val="22"/>
                <w:szCs w:val="22"/>
              </w:rPr>
              <w:t>Insuretech</w:t>
            </w:r>
          </w:p>
        </w:tc>
        <w:tc>
          <w:tcPr>
            <w:tcW w:w="8222" w:type="dxa"/>
          </w:tcPr>
          <w:p w14:paraId="3D546F09" w14:textId="77777777" w:rsidR="000F23E8" w:rsidRPr="002B0BE2" w:rsidRDefault="000F23E8" w:rsidP="00D4168A">
            <w:pPr>
              <w:pStyle w:val="TableText"/>
              <w:rPr>
                <w:sz w:val="22"/>
                <w:szCs w:val="22"/>
              </w:rPr>
            </w:pPr>
            <w:r w:rsidRPr="002B0BE2">
              <w:rPr>
                <w:i/>
                <w:sz w:val="22"/>
                <w:szCs w:val="22"/>
              </w:rPr>
              <w:t>Belfast is the world’s number 1 investment location for financial services technology inward investment projects. (fDi Markets FT, 2023)</w:t>
            </w:r>
            <w:r>
              <w:rPr>
                <w:i/>
                <w:sz w:val="22"/>
                <w:szCs w:val="22"/>
              </w:rPr>
              <w:t xml:space="preserve"> </w:t>
            </w:r>
            <w:r w:rsidRPr="002B0BE2">
              <w:rPr>
                <w:i/>
                <w:sz w:val="22"/>
                <w:szCs w:val="22"/>
              </w:rPr>
              <w:t>Highest concentration of fintech employment in the UK - 1 in 5 people working across financial services and tech is working in fintech. (NI Fintech Ecosystem Report, 2020)</w:t>
            </w:r>
            <w:r>
              <w:rPr>
                <w:i/>
                <w:sz w:val="22"/>
                <w:szCs w:val="22"/>
              </w:rPr>
              <w:t xml:space="preserve">. </w:t>
            </w:r>
            <w:r w:rsidRPr="002B0BE2">
              <w:rPr>
                <w:i/>
                <w:sz w:val="22"/>
                <w:szCs w:val="22"/>
              </w:rPr>
              <w:t xml:space="preserve">Belfast is ranked in the top 3 Global Fintech locations of the future after London </w:t>
            </w:r>
            <w:r w:rsidRPr="002B0BE2">
              <w:rPr>
                <w:i/>
                <w:sz w:val="22"/>
                <w:szCs w:val="22"/>
              </w:rPr>
              <w:lastRenderedPageBreak/>
              <w:t>and Singapore. (fDi Intelligence Fintech locations of the Future 2019/20)</w:t>
            </w:r>
          </w:p>
        </w:tc>
      </w:tr>
    </w:tbl>
    <w:p w14:paraId="567A4F54" w14:textId="198877DE" w:rsidR="000F23E8" w:rsidRPr="00387AD8" w:rsidRDefault="000F23E8" w:rsidP="000F23E8">
      <w:pPr>
        <w:rPr>
          <w:b/>
          <w:sz w:val="18"/>
          <w:szCs w:val="18"/>
          <w:lang w:val="en-GB" w:eastAsia="en-GB"/>
        </w:rPr>
      </w:pPr>
      <w:r>
        <w:rPr>
          <w:b/>
          <w:sz w:val="18"/>
          <w:szCs w:val="18"/>
          <w:lang w:val="en-GB" w:eastAsia="en-GB"/>
        </w:rPr>
        <w:lastRenderedPageBreak/>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Pr>
          <w:b/>
          <w:sz w:val="18"/>
          <w:szCs w:val="18"/>
          <w:lang w:val="en-GB" w:eastAsia="en-GB"/>
        </w:rPr>
        <w:tab/>
      </w:r>
      <w:r w:rsidR="00ED7202">
        <w:rPr>
          <w:b/>
          <w:sz w:val="18"/>
          <w:szCs w:val="18"/>
          <w:lang w:val="en-GB" w:eastAsia="en-GB"/>
        </w:rPr>
        <w:tab/>
      </w:r>
      <w:r w:rsidR="00ED7202">
        <w:rPr>
          <w:b/>
          <w:sz w:val="18"/>
          <w:szCs w:val="18"/>
          <w:lang w:val="en-GB" w:eastAsia="en-GB"/>
        </w:rPr>
        <w:tab/>
      </w:r>
      <w:r w:rsidR="00ED7202">
        <w:rPr>
          <w:b/>
          <w:sz w:val="18"/>
          <w:szCs w:val="18"/>
          <w:lang w:val="en-GB" w:eastAsia="en-GB"/>
        </w:rPr>
        <w:tab/>
      </w:r>
      <w:r w:rsidR="00ED7202">
        <w:rPr>
          <w:b/>
          <w:sz w:val="18"/>
          <w:szCs w:val="18"/>
          <w:lang w:val="en-GB" w:eastAsia="en-GB"/>
        </w:rPr>
        <w:tab/>
      </w:r>
      <w:r w:rsidR="00ED7202">
        <w:rPr>
          <w:b/>
          <w:sz w:val="18"/>
          <w:szCs w:val="18"/>
          <w:lang w:val="en-GB" w:eastAsia="en-GB"/>
        </w:rPr>
        <w:tab/>
      </w:r>
      <w:r w:rsidR="00ED7202">
        <w:rPr>
          <w:b/>
          <w:sz w:val="18"/>
          <w:szCs w:val="18"/>
          <w:lang w:val="en-GB" w:eastAsia="en-GB"/>
        </w:rPr>
        <w:tab/>
      </w:r>
      <w:r w:rsidRPr="00387AD8">
        <w:rPr>
          <w:b/>
          <w:sz w:val="18"/>
          <w:szCs w:val="18"/>
          <w:lang w:val="en-GB" w:eastAsia="en-GB"/>
        </w:rPr>
        <w:t>Source: Invest Northern Ireland 2024</w:t>
      </w:r>
    </w:p>
    <w:p w14:paraId="1BABB001" w14:textId="77777777" w:rsidR="00ED7202" w:rsidRDefault="000F23E8" w:rsidP="000F23E8">
      <w:pPr>
        <w:rPr>
          <w:lang w:val="en-GB" w:eastAsia="en-GB"/>
        </w:rPr>
      </w:pPr>
      <w:r w:rsidRPr="000025C3">
        <w:rPr>
          <w:lang w:val="en-GB" w:eastAsia="en-GB"/>
        </w:rPr>
        <w:t xml:space="preserve">Furthermore, Invest Northern Ireland provide details of global leaders in the financial services sector with a presence in Northern Ireland. Table </w:t>
      </w:r>
      <w:r>
        <w:rPr>
          <w:lang w:val="en-GB" w:eastAsia="en-GB"/>
        </w:rPr>
        <w:t>4</w:t>
      </w:r>
      <w:r w:rsidRPr="000025C3">
        <w:rPr>
          <w:lang w:val="en-GB" w:eastAsia="en-GB"/>
        </w:rPr>
        <w:t xml:space="preserve"> below presents the Invest Northern Ireland commentary</w:t>
      </w:r>
      <w:r>
        <w:rPr>
          <w:lang w:val="en-GB" w:eastAsia="en-GB"/>
        </w:rPr>
        <w:t xml:space="preserve"> on these companies</w:t>
      </w:r>
      <w:r w:rsidRPr="000025C3">
        <w:rPr>
          <w:lang w:val="en-GB" w:eastAsia="en-GB"/>
        </w:rPr>
        <w:t>.</w:t>
      </w:r>
    </w:p>
    <w:p w14:paraId="2EF81335" w14:textId="0BECEF79" w:rsidR="000F23E8" w:rsidRPr="002B0BE2" w:rsidRDefault="000F23E8" w:rsidP="000F23E8">
      <w:pPr>
        <w:rPr>
          <w:b/>
          <w:sz w:val="20"/>
          <w:szCs w:val="20"/>
          <w:lang w:val="en-GB" w:eastAsia="en-GB"/>
        </w:rPr>
      </w:pPr>
      <w:r w:rsidRPr="002B0BE2">
        <w:rPr>
          <w:b/>
          <w:sz w:val="20"/>
          <w:szCs w:val="20"/>
          <w:lang w:val="en-GB" w:eastAsia="en-GB"/>
        </w:rPr>
        <w:t xml:space="preserve">Table </w:t>
      </w:r>
      <w:r>
        <w:rPr>
          <w:b/>
          <w:sz w:val="20"/>
          <w:szCs w:val="20"/>
          <w:lang w:val="en-GB" w:eastAsia="en-GB"/>
        </w:rPr>
        <w:t>4:</w:t>
      </w:r>
      <w:r w:rsidRPr="002B0BE2">
        <w:rPr>
          <w:b/>
          <w:sz w:val="20"/>
          <w:szCs w:val="20"/>
          <w:lang w:val="en-GB" w:eastAsia="en-GB"/>
        </w:rPr>
        <w:t xml:space="preserve"> </w:t>
      </w:r>
      <w:r>
        <w:rPr>
          <w:b/>
          <w:sz w:val="20"/>
          <w:szCs w:val="20"/>
          <w:lang w:val="en-GB" w:eastAsia="en-GB"/>
        </w:rPr>
        <w:t>G</w:t>
      </w:r>
      <w:r w:rsidRPr="002B0BE2">
        <w:rPr>
          <w:b/>
          <w:sz w:val="20"/>
          <w:szCs w:val="20"/>
          <w:lang w:val="en-GB" w:eastAsia="en-GB"/>
        </w:rPr>
        <w:t>lobal leaders with a presence in Northern Ireland</w:t>
      </w:r>
      <w:r>
        <w:rPr>
          <w:b/>
          <w:sz w:val="20"/>
          <w:szCs w:val="20"/>
          <w:lang w:val="en-GB" w:eastAsia="en-GB"/>
        </w:rPr>
        <w:t xml:space="preserve"> </w:t>
      </w:r>
      <w:r w:rsidRPr="006A448E">
        <w:rPr>
          <w:b/>
          <w:sz w:val="20"/>
          <w:szCs w:val="20"/>
          <w:vertAlign w:val="superscript"/>
          <w:lang w:val="en-GB" w:eastAsia="en-GB"/>
        </w:rPr>
        <w:footnoteReference w:id="38"/>
      </w:r>
    </w:p>
    <w:tbl>
      <w:tblPr>
        <w:tblStyle w:val="TableGrid"/>
        <w:tblW w:w="0" w:type="auto"/>
        <w:tblInd w:w="567" w:type="dxa"/>
        <w:tblLook w:val="04A0" w:firstRow="1" w:lastRow="0" w:firstColumn="1" w:lastColumn="0" w:noHBand="0" w:noVBand="1"/>
      </w:tblPr>
      <w:tblGrid>
        <w:gridCol w:w="2118"/>
        <w:gridCol w:w="6375"/>
      </w:tblGrid>
      <w:tr w:rsidR="000F23E8" w14:paraId="1B785520" w14:textId="77777777" w:rsidTr="00D4168A">
        <w:tc>
          <w:tcPr>
            <w:tcW w:w="2547" w:type="dxa"/>
            <w:shd w:val="clear" w:color="auto" w:fill="8DB3E2" w:themeFill="text2" w:themeFillTint="66"/>
          </w:tcPr>
          <w:p w14:paraId="7E05B6A9" w14:textId="77777777" w:rsidR="000F23E8" w:rsidRPr="00BF4F2D" w:rsidRDefault="000F23E8" w:rsidP="00D4168A">
            <w:pPr>
              <w:pStyle w:val="TableText-ColumnHeading"/>
              <w:rPr>
                <w:sz w:val="22"/>
                <w:szCs w:val="22"/>
              </w:rPr>
            </w:pPr>
            <w:r w:rsidRPr="00BF4F2D">
              <w:rPr>
                <w:sz w:val="22"/>
                <w:szCs w:val="22"/>
              </w:rPr>
              <w:t>Company</w:t>
            </w:r>
          </w:p>
        </w:tc>
        <w:tc>
          <w:tcPr>
            <w:tcW w:w="10064" w:type="dxa"/>
            <w:shd w:val="clear" w:color="auto" w:fill="8DB3E2" w:themeFill="text2" w:themeFillTint="66"/>
          </w:tcPr>
          <w:p w14:paraId="3C3D6C81" w14:textId="77777777" w:rsidR="000F23E8" w:rsidRPr="00BF4F2D" w:rsidRDefault="000F23E8" w:rsidP="00D4168A">
            <w:pPr>
              <w:pStyle w:val="TableText-ColumnHeading"/>
              <w:rPr>
                <w:sz w:val="22"/>
                <w:szCs w:val="22"/>
              </w:rPr>
            </w:pPr>
            <w:r w:rsidRPr="00BF4F2D">
              <w:rPr>
                <w:sz w:val="22"/>
                <w:szCs w:val="22"/>
              </w:rPr>
              <w:t>Invest Northern Ireland commentary</w:t>
            </w:r>
          </w:p>
        </w:tc>
      </w:tr>
      <w:tr w:rsidR="000F23E8" w14:paraId="1F65B6CC" w14:textId="77777777" w:rsidTr="00D4168A">
        <w:tc>
          <w:tcPr>
            <w:tcW w:w="2547" w:type="dxa"/>
            <w:shd w:val="clear" w:color="auto" w:fill="95B3D7" w:themeFill="accent1" w:themeFillTint="99"/>
          </w:tcPr>
          <w:p w14:paraId="7266724E" w14:textId="77777777" w:rsidR="000F23E8" w:rsidRPr="00BF4F2D" w:rsidRDefault="00A15DBC" w:rsidP="00D4168A">
            <w:pPr>
              <w:pStyle w:val="TableText-ColumnHeading"/>
              <w:rPr>
                <w:sz w:val="22"/>
                <w:szCs w:val="22"/>
              </w:rPr>
            </w:pPr>
            <w:hyperlink r:id="rId39" w:history="1">
              <w:r w:rsidR="000F23E8" w:rsidRPr="00BF4F2D">
                <w:rPr>
                  <w:rStyle w:val="Hyperlink"/>
                  <w:sz w:val="22"/>
                  <w:szCs w:val="22"/>
                </w:rPr>
                <w:t>Aflac</w:t>
              </w:r>
            </w:hyperlink>
          </w:p>
        </w:tc>
        <w:tc>
          <w:tcPr>
            <w:tcW w:w="10064" w:type="dxa"/>
          </w:tcPr>
          <w:p w14:paraId="5F3C17B0" w14:textId="77777777" w:rsidR="000F23E8" w:rsidRPr="00BF4F2D" w:rsidRDefault="000F23E8" w:rsidP="00D4168A">
            <w:pPr>
              <w:pStyle w:val="TableText"/>
              <w:rPr>
                <w:i/>
                <w:sz w:val="22"/>
                <w:szCs w:val="22"/>
              </w:rPr>
            </w:pPr>
            <w:r w:rsidRPr="00BF4F2D">
              <w:rPr>
                <w:i/>
                <w:sz w:val="22"/>
                <w:szCs w:val="22"/>
              </w:rPr>
              <w:t>Leading US insurance company Aflac established a Global IT and Cyber Security Innovation Centre in Northern Ireland in 2019 to support customers and market growth in the US and Japan. Teams in Belfast are providing technical expertise and operational support to Aflac’s US cyber security and IT operations.</w:t>
            </w:r>
          </w:p>
        </w:tc>
      </w:tr>
      <w:tr w:rsidR="000F23E8" w14:paraId="1CBFD78C" w14:textId="77777777" w:rsidTr="00D4168A">
        <w:tc>
          <w:tcPr>
            <w:tcW w:w="2547" w:type="dxa"/>
            <w:shd w:val="clear" w:color="auto" w:fill="95B3D7" w:themeFill="accent1" w:themeFillTint="99"/>
          </w:tcPr>
          <w:p w14:paraId="1C226D41" w14:textId="77777777" w:rsidR="000F23E8" w:rsidRPr="00BF4F2D" w:rsidRDefault="00A15DBC" w:rsidP="00D4168A">
            <w:pPr>
              <w:pStyle w:val="TableText-ColumnHeading"/>
              <w:rPr>
                <w:sz w:val="22"/>
                <w:szCs w:val="22"/>
              </w:rPr>
            </w:pPr>
            <w:hyperlink r:id="rId40" w:history="1">
              <w:r w:rsidR="000F23E8" w:rsidRPr="00BF4F2D">
                <w:rPr>
                  <w:rStyle w:val="Hyperlink"/>
                  <w:sz w:val="22"/>
                  <w:szCs w:val="22"/>
                </w:rPr>
                <w:t>The ALLSTATE Corporation</w:t>
              </w:r>
            </w:hyperlink>
          </w:p>
        </w:tc>
        <w:tc>
          <w:tcPr>
            <w:tcW w:w="10064" w:type="dxa"/>
          </w:tcPr>
          <w:p w14:paraId="6FC6127A" w14:textId="77777777" w:rsidR="000F23E8" w:rsidRPr="00BF4F2D" w:rsidRDefault="000F23E8" w:rsidP="00D4168A">
            <w:pPr>
              <w:pStyle w:val="TableText"/>
              <w:rPr>
                <w:i/>
                <w:sz w:val="22"/>
                <w:szCs w:val="22"/>
              </w:rPr>
            </w:pPr>
            <w:r w:rsidRPr="00BF4F2D">
              <w:rPr>
                <w:i/>
                <w:sz w:val="22"/>
                <w:szCs w:val="22"/>
              </w:rPr>
              <w:t>America’s largest publicly held personal lines, property and casualty insurer established its first NI centre in 1998 and today is Northern Ireland’s largest IT Company with 2,400+ employees across two sites in Belfast and L’derry.  Allstate NI covers the full life cycle of software design, development, maintenance and support. Specialist teams also work in telematics and analytics for fraud prevention and customer retention.</w:t>
            </w:r>
          </w:p>
        </w:tc>
      </w:tr>
      <w:tr w:rsidR="000F23E8" w14:paraId="485CD995" w14:textId="77777777" w:rsidTr="00D4168A">
        <w:tc>
          <w:tcPr>
            <w:tcW w:w="2547" w:type="dxa"/>
            <w:shd w:val="clear" w:color="auto" w:fill="95B3D7" w:themeFill="accent1" w:themeFillTint="99"/>
          </w:tcPr>
          <w:p w14:paraId="06BCC7D7" w14:textId="77777777" w:rsidR="000F23E8" w:rsidRPr="00BF4F2D" w:rsidRDefault="00A15DBC" w:rsidP="00D4168A">
            <w:pPr>
              <w:pStyle w:val="TableText-ColumnHeading"/>
              <w:rPr>
                <w:sz w:val="22"/>
                <w:szCs w:val="22"/>
              </w:rPr>
            </w:pPr>
            <w:hyperlink r:id="rId41" w:history="1">
              <w:r w:rsidR="000F23E8" w:rsidRPr="00BF4F2D">
                <w:rPr>
                  <w:rStyle w:val="Hyperlink"/>
                  <w:sz w:val="22"/>
                  <w:szCs w:val="22"/>
                </w:rPr>
                <w:t>Citi</w:t>
              </w:r>
            </w:hyperlink>
          </w:p>
        </w:tc>
        <w:tc>
          <w:tcPr>
            <w:tcW w:w="10064" w:type="dxa"/>
          </w:tcPr>
          <w:p w14:paraId="134B3C81" w14:textId="77777777" w:rsidR="000F23E8" w:rsidRPr="00BF4F2D" w:rsidRDefault="000F23E8" w:rsidP="00D4168A">
            <w:pPr>
              <w:pStyle w:val="TableText"/>
              <w:rPr>
                <w:i/>
                <w:sz w:val="22"/>
                <w:szCs w:val="22"/>
              </w:rPr>
            </w:pPr>
            <w:r w:rsidRPr="00BF4F2D">
              <w:rPr>
                <w:i/>
                <w:sz w:val="22"/>
                <w:szCs w:val="22"/>
              </w:rPr>
              <w:t>Leading global bank, Citi established a technology centre in Belfast in 2005 and has grown to over 2,900 employees providing professional services to 96 countries across the globe in 21 distinct functions including markets, legal, risk, HR, operations and technology.  Citi have a range of opportunities available for graduates, apprenticeships, school leavers and people returning to work.</w:t>
            </w:r>
          </w:p>
        </w:tc>
      </w:tr>
      <w:tr w:rsidR="000F23E8" w14:paraId="4474477E" w14:textId="77777777" w:rsidTr="00D4168A">
        <w:tc>
          <w:tcPr>
            <w:tcW w:w="2547" w:type="dxa"/>
            <w:shd w:val="clear" w:color="auto" w:fill="95B3D7" w:themeFill="accent1" w:themeFillTint="99"/>
          </w:tcPr>
          <w:p w14:paraId="2D14163A" w14:textId="77777777" w:rsidR="000F23E8" w:rsidRPr="00BF4F2D" w:rsidRDefault="00A15DBC" w:rsidP="00D4168A">
            <w:pPr>
              <w:pStyle w:val="TableText-ColumnHeading"/>
              <w:rPr>
                <w:sz w:val="22"/>
                <w:szCs w:val="22"/>
              </w:rPr>
            </w:pPr>
            <w:hyperlink r:id="rId42" w:history="1">
              <w:r w:rsidR="000F23E8" w:rsidRPr="00BF4F2D">
                <w:rPr>
                  <w:rStyle w:val="Hyperlink"/>
                  <w:sz w:val="22"/>
                  <w:szCs w:val="22"/>
                </w:rPr>
                <w:t>CME</w:t>
              </w:r>
            </w:hyperlink>
          </w:p>
        </w:tc>
        <w:tc>
          <w:tcPr>
            <w:tcW w:w="10064" w:type="dxa"/>
          </w:tcPr>
          <w:p w14:paraId="76A57487" w14:textId="77777777" w:rsidR="000F23E8" w:rsidRPr="00BF4F2D" w:rsidRDefault="000F23E8" w:rsidP="00D4168A">
            <w:pPr>
              <w:pStyle w:val="TableText"/>
              <w:rPr>
                <w:i/>
                <w:sz w:val="22"/>
                <w:szCs w:val="22"/>
              </w:rPr>
            </w:pPr>
            <w:r w:rsidRPr="00BF4F2D">
              <w:rPr>
                <w:i/>
                <w:sz w:val="22"/>
                <w:szCs w:val="22"/>
                <w:lang w:val="en-US"/>
              </w:rPr>
              <w:t xml:space="preserve">Chicago based CME Group is the world’s leading and most diverse derivatives marketplace. CME Group established its Technology and Support Centre in Belfast in 2012 and today it employs over 280 staff, undertaking software development, clearing operations, finance and digital marketing for the </w:t>
            </w:r>
            <w:r w:rsidRPr="00BF4F2D">
              <w:rPr>
                <w:i/>
                <w:sz w:val="22"/>
                <w:szCs w:val="22"/>
                <w:lang w:val="en-US"/>
              </w:rPr>
              <w:lastRenderedPageBreak/>
              <w:t>Group’s operations in London, Singapore, New York, &amp; Chicago.</w:t>
            </w:r>
          </w:p>
        </w:tc>
      </w:tr>
      <w:tr w:rsidR="000F23E8" w14:paraId="52D6D356" w14:textId="77777777" w:rsidTr="00D4168A">
        <w:tc>
          <w:tcPr>
            <w:tcW w:w="2547" w:type="dxa"/>
            <w:shd w:val="clear" w:color="auto" w:fill="95B3D7" w:themeFill="accent1" w:themeFillTint="99"/>
          </w:tcPr>
          <w:p w14:paraId="3BE78EB5" w14:textId="77777777" w:rsidR="000F23E8" w:rsidRPr="00BF4F2D" w:rsidRDefault="00A15DBC" w:rsidP="00D4168A">
            <w:pPr>
              <w:pStyle w:val="TableText-ColumnHeading"/>
              <w:rPr>
                <w:sz w:val="22"/>
                <w:szCs w:val="22"/>
              </w:rPr>
            </w:pPr>
            <w:hyperlink r:id="rId43" w:history="1">
              <w:r w:rsidR="000F23E8" w:rsidRPr="00BF4F2D">
                <w:rPr>
                  <w:rStyle w:val="Hyperlink"/>
                  <w:sz w:val="22"/>
                  <w:szCs w:val="22"/>
                </w:rPr>
                <w:t>Danske Bank</w:t>
              </w:r>
            </w:hyperlink>
          </w:p>
        </w:tc>
        <w:tc>
          <w:tcPr>
            <w:tcW w:w="10064" w:type="dxa"/>
          </w:tcPr>
          <w:p w14:paraId="3D5A78BE" w14:textId="77777777" w:rsidR="000F23E8" w:rsidRPr="00BF4F2D" w:rsidRDefault="000F23E8" w:rsidP="00D4168A">
            <w:pPr>
              <w:pStyle w:val="TableText"/>
              <w:rPr>
                <w:i/>
                <w:iCs/>
                <w:sz w:val="22"/>
                <w:szCs w:val="22"/>
              </w:rPr>
            </w:pPr>
            <w:r w:rsidRPr="00BF4F2D">
              <w:rPr>
                <w:i/>
                <w:iCs/>
                <w:sz w:val="22"/>
                <w:szCs w:val="22"/>
              </w:rPr>
              <w:t>Danske Bank currently employs over 1,400 people in Northern Ireland across a diverse range of teams, from digital and robotics, to finance, legal and customer experience.  Danske Bank alongside Catalyst Inc established the first dedicated Fintech hub in Northern Ireland in 2018 and the bank also offers higher level apprenticeships in association with Ulster University.</w:t>
            </w:r>
          </w:p>
        </w:tc>
      </w:tr>
      <w:tr w:rsidR="000F23E8" w14:paraId="40691A40" w14:textId="77777777" w:rsidTr="00D4168A">
        <w:tc>
          <w:tcPr>
            <w:tcW w:w="2547" w:type="dxa"/>
            <w:shd w:val="clear" w:color="auto" w:fill="95B3D7" w:themeFill="accent1" w:themeFillTint="99"/>
          </w:tcPr>
          <w:p w14:paraId="16765A91" w14:textId="77777777" w:rsidR="000F23E8" w:rsidRPr="00BF4F2D" w:rsidRDefault="00A15DBC" w:rsidP="00D4168A">
            <w:pPr>
              <w:pStyle w:val="TableText-ColumnHeading"/>
              <w:rPr>
                <w:sz w:val="22"/>
                <w:szCs w:val="22"/>
              </w:rPr>
            </w:pPr>
            <w:hyperlink r:id="rId44" w:history="1">
              <w:r w:rsidR="000F23E8" w:rsidRPr="00BF4F2D">
                <w:rPr>
                  <w:rStyle w:val="Hyperlink"/>
                  <w:sz w:val="22"/>
                  <w:szCs w:val="22"/>
                </w:rPr>
                <w:t>FinTrU</w:t>
              </w:r>
            </w:hyperlink>
          </w:p>
        </w:tc>
        <w:tc>
          <w:tcPr>
            <w:tcW w:w="10064" w:type="dxa"/>
          </w:tcPr>
          <w:p w14:paraId="557D3BB9" w14:textId="77777777" w:rsidR="000F23E8" w:rsidRPr="00BF4F2D" w:rsidRDefault="000F23E8" w:rsidP="00D4168A">
            <w:pPr>
              <w:pStyle w:val="TableText"/>
              <w:rPr>
                <w:i/>
                <w:iCs/>
                <w:sz w:val="22"/>
                <w:szCs w:val="22"/>
              </w:rPr>
            </w:pPr>
            <w:r w:rsidRPr="00BF4F2D">
              <w:rPr>
                <w:i/>
                <w:iCs/>
                <w:sz w:val="22"/>
                <w:szCs w:val="22"/>
              </w:rPr>
              <w:t>Founded in 2013, FinTrU is a multi-award winning Regulatory Technology company working on the global stage with the largest Tier 1 Global Investment Banks.  Employing over 800 people across offices in Belfast, Derry/Londonderry, London and New York, FinTrU works with its clients’ Legal, Risk, Compliance, KYC, and Operations departments to help them meet their regulatory needs and provides efficient and optimised solutions which are enabled by technology and its TrUDelivery methodology.</w:t>
            </w:r>
          </w:p>
        </w:tc>
      </w:tr>
      <w:tr w:rsidR="000F23E8" w14:paraId="0B00D755" w14:textId="77777777" w:rsidTr="00D4168A">
        <w:tc>
          <w:tcPr>
            <w:tcW w:w="2547" w:type="dxa"/>
            <w:shd w:val="clear" w:color="auto" w:fill="95B3D7" w:themeFill="accent1" w:themeFillTint="99"/>
          </w:tcPr>
          <w:p w14:paraId="1B20CE43" w14:textId="77777777" w:rsidR="000F23E8" w:rsidRPr="00BF4F2D" w:rsidRDefault="00A15DBC" w:rsidP="00D4168A">
            <w:pPr>
              <w:pStyle w:val="TableText-ColumnHeading"/>
              <w:rPr>
                <w:sz w:val="22"/>
                <w:szCs w:val="22"/>
              </w:rPr>
            </w:pPr>
            <w:hyperlink r:id="rId45" w:history="1">
              <w:r w:rsidR="000F23E8" w:rsidRPr="00BF4F2D">
                <w:rPr>
                  <w:rStyle w:val="Hyperlink"/>
                  <w:sz w:val="22"/>
                  <w:szCs w:val="22"/>
                </w:rPr>
                <w:t>FD Technologies</w:t>
              </w:r>
            </w:hyperlink>
          </w:p>
        </w:tc>
        <w:tc>
          <w:tcPr>
            <w:tcW w:w="10064" w:type="dxa"/>
          </w:tcPr>
          <w:p w14:paraId="54959EFB" w14:textId="77777777" w:rsidR="000F23E8" w:rsidRPr="00BF4F2D" w:rsidRDefault="000F23E8" w:rsidP="00D4168A">
            <w:pPr>
              <w:pStyle w:val="TableText"/>
              <w:rPr>
                <w:i/>
                <w:iCs/>
                <w:sz w:val="22"/>
                <w:szCs w:val="22"/>
              </w:rPr>
            </w:pPr>
            <w:r w:rsidRPr="00BF4F2D">
              <w:rPr>
                <w:i/>
                <w:iCs/>
                <w:sz w:val="22"/>
                <w:szCs w:val="22"/>
              </w:rPr>
              <w:t>FD Technologies is a group of data-driven businesses that unlock the value of insight, hindsight and foresight to drive organisations forward. The Group comprises KX, the leading technology for realtime continuous intelligence; First Derivative, a provider of technology-led services in capital markets; and MRP, the only enterprise-class, predictive Accounts Based Marketing solution. FD Technologies operates from 15 offices across Europe, North America and Asia Pacific, and employs more than 2,500 people worldwide.</w:t>
            </w:r>
          </w:p>
        </w:tc>
      </w:tr>
      <w:tr w:rsidR="000F23E8" w14:paraId="33286D4F" w14:textId="77777777" w:rsidTr="00D4168A">
        <w:tc>
          <w:tcPr>
            <w:tcW w:w="2547" w:type="dxa"/>
            <w:shd w:val="clear" w:color="auto" w:fill="95B3D7" w:themeFill="accent1" w:themeFillTint="99"/>
          </w:tcPr>
          <w:p w14:paraId="3A518AAE" w14:textId="77777777" w:rsidR="000F23E8" w:rsidRPr="00BF4F2D" w:rsidRDefault="00A15DBC" w:rsidP="00D4168A">
            <w:pPr>
              <w:pStyle w:val="TableText-ColumnHeading"/>
              <w:rPr>
                <w:sz w:val="22"/>
                <w:szCs w:val="22"/>
              </w:rPr>
            </w:pPr>
            <w:hyperlink r:id="rId46" w:history="1">
              <w:r w:rsidR="000F23E8" w:rsidRPr="00BF4F2D">
                <w:rPr>
                  <w:rStyle w:val="Hyperlink"/>
                  <w:sz w:val="22"/>
                  <w:szCs w:val="22"/>
                </w:rPr>
                <w:t>Lloyds Banking Group</w:t>
              </w:r>
            </w:hyperlink>
          </w:p>
        </w:tc>
        <w:tc>
          <w:tcPr>
            <w:tcW w:w="10064" w:type="dxa"/>
          </w:tcPr>
          <w:p w14:paraId="654214E4" w14:textId="77777777" w:rsidR="000F23E8" w:rsidRPr="00BF4F2D" w:rsidRDefault="000F23E8" w:rsidP="00D4168A">
            <w:pPr>
              <w:pStyle w:val="TableText"/>
              <w:rPr>
                <w:i/>
                <w:iCs/>
                <w:sz w:val="22"/>
                <w:szCs w:val="22"/>
              </w:rPr>
            </w:pPr>
            <w:r w:rsidRPr="00BF4F2D">
              <w:rPr>
                <w:i/>
                <w:iCs/>
                <w:sz w:val="22"/>
                <w:szCs w:val="22"/>
              </w:rPr>
              <w:t>Lloyds Banking Group (previously Halifax) established a contact centre in Belfast nearly 25 years ago to meet increasing demand for telephone and internet based customer service.  The centre has gone from strength to strength and now employs over 1600 people specialising in customer service excellence across a number of banking products and services.</w:t>
            </w:r>
          </w:p>
        </w:tc>
      </w:tr>
      <w:tr w:rsidR="000F23E8" w14:paraId="04727219" w14:textId="77777777" w:rsidTr="00D4168A">
        <w:tc>
          <w:tcPr>
            <w:tcW w:w="2547" w:type="dxa"/>
            <w:shd w:val="clear" w:color="auto" w:fill="95B3D7" w:themeFill="accent1" w:themeFillTint="99"/>
          </w:tcPr>
          <w:p w14:paraId="30F63A8E" w14:textId="77777777" w:rsidR="000F23E8" w:rsidRPr="00BF4F2D" w:rsidRDefault="00A15DBC" w:rsidP="00D4168A">
            <w:pPr>
              <w:pStyle w:val="TableText-ColumnHeading"/>
              <w:rPr>
                <w:sz w:val="22"/>
                <w:szCs w:val="22"/>
              </w:rPr>
            </w:pPr>
            <w:hyperlink r:id="rId47" w:history="1">
              <w:r w:rsidR="000F23E8" w:rsidRPr="00BF4F2D">
                <w:rPr>
                  <w:rStyle w:val="Hyperlink"/>
                  <w:sz w:val="22"/>
                  <w:szCs w:val="22"/>
                </w:rPr>
                <w:t>Ocorian</w:t>
              </w:r>
            </w:hyperlink>
          </w:p>
        </w:tc>
        <w:tc>
          <w:tcPr>
            <w:tcW w:w="10064" w:type="dxa"/>
          </w:tcPr>
          <w:p w14:paraId="71311EAB" w14:textId="77777777" w:rsidR="000F23E8" w:rsidRPr="00BF4F2D" w:rsidRDefault="000F23E8" w:rsidP="00D4168A">
            <w:pPr>
              <w:pStyle w:val="TableText"/>
              <w:rPr>
                <w:i/>
                <w:iCs/>
                <w:sz w:val="22"/>
                <w:szCs w:val="22"/>
              </w:rPr>
            </w:pPr>
            <w:r w:rsidRPr="00BF4F2D">
              <w:rPr>
                <w:i/>
                <w:iCs/>
                <w:sz w:val="22"/>
                <w:szCs w:val="22"/>
                <w:lang w:val="en-US"/>
              </w:rPr>
              <w:t>In 2011, Ocorian, a global leader in corporate and fiduciary services, fund administration and capital markets, established a funds service operation in Belfast to service UK based funds, particularly in private equity, and renewable energy infrastructure.  As part of a global network of offices, Ocorian Belfast fulfils a number of functions including Accountancy, Company Secretarial and Depositary.</w:t>
            </w:r>
          </w:p>
        </w:tc>
      </w:tr>
      <w:tr w:rsidR="000F23E8" w14:paraId="738D865D" w14:textId="77777777" w:rsidTr="00D4168A">
        <w:tc>
          <w:tcPr>
            <w:tcW w:w="2547" w:type="dxa"/>
            <w:shd w:val="clear" w:color="auto" w:fill="95B3D7" w:themeFill="accent1" w:themeFillTint="99"/>
          </w:tcPr>
          <w:p w14:paraId="358FD2D1" w14:textId="77777777" w:rsidR="000F23E8" w:rsidRPr="00BF4F2D" w:rsidRDefault="00A15DBC" w:rsidP="00D4168A">
            <w:pPr>
              <w:pStyle w:val="TableText-ColumnHeading"/>
              <w:rPr>
                <w:sz w:val="22"/>
                <w:szCs w:val="22"/>
              </w:rPr>
            </w:pPr>
            <w:hyperlink r:id="rId48" w:history="1">
              <w:r w:rsidR="000F23E8" w:rsidRPr="00BF4F2D">
                <w:rPr>
                  <w:rStyle w:val="Hyperlink"/>
                  <w:sz w:val="22"/>
                  <w:szCs w:val="22"/>
                </w:rPr>
                <w:t>TSYS</w:t>
              </w:r>
            </w:hyperlink>
          </w:p>
        </w:tc>
        <w:tc>
          <w:tcPr>
            <w:tcW w:w="10064" w:type="dxa"/>
          </w:tcPr>
          <w:p w14:paraId="69977C6E" w14:textId="77777777" w:rsidR="000F23E8" w:rsidRPr="00BF4F2D" w:rsidRDefault="000F23E8" w:rsidP="00D4168A">
            <w:pPr>
              <w:pStyle w:val="TableText"/>
              <w:rPr>
                <w:i/>
                <w:iCs/>
                <w:sz w:val="22"/>
                <w:szCs w:val="22"/>
              </w:rPr>
            </w:pPr>
            <w:r w:rsidRPr="00BF4F2D">
              <w:rPr>
                <w:i/>
                <w:iCs/>
                <w:sz w:val="22"/>
                <w:szCs w:val="22"/>
                <w:lang w:val="en-US"/>
              </w:rPr>
              <w:t>Headquartered in Georgia, USA, TSYS (a Global Payments Company) is a leading global provider of seamless, secure and innovative solutions to payment card issuers, in approximately 80 countries worldwide. Its solutions range from simple and reliable payment processing, to fully integrated, multichannel customer engagement platforms which facilitate payment security, acceptance, consumer programs, and analytics. TSYS’s established an engineering division in Belfast in 2013.</w:t>
            </w:r>
          </w:p>
        </w:tc>
      </w:tr>
    </w:tbl>
    <w:p w14:paraId="7B951601" w14:textId="449C01DC" w:rsidR="00C726B8" w:rsidRPr="001F001E" w:rsidRDefault="000F23E8" w:rsidP="009879A9">
      <w:pPr>
        <w:rPr>
          <w:sz w:val="16"/>
          <w:szCs w:val="16"/>
          <w:lang w:val="en-GB" w:eastAsia="en-GB"/>
        </w:rPr>
      </w:pPr>
      <w:r w:rsidRPr="00F54D2A">
        <w:rPr>
          <w:b/>
          <w:lang w:val="en-GB" w:eastAsia="en-GB"/>
        </w:rPr>
        <w:tab/>
      </w:r>
      <w:r>
        <w:rPr>
          <w:b/>
          <w:lang w:val="en-GB" w:eastAsia="en-GB"/>
        </w:rPr>
        <w:tab/>
      </w:r>
      <w:r>
        <w:rPr>
          <w:b/>
          <w:lang w:val="en-GB" w:eastAsia="en-GB"/>
        </w:rPr>
        <w:tab/>
      </w:r>
      <w:r>
        <w:rPr>
          <w:b/>
          <w:lang w:val="en-GB" w:eastAsia="en-GB"/>
        </w:rPr>
        <w:tab/>
      </w:r>
      <w:r>
        <w:rPr>
          <w:b/>
          <w:lang w:val="en-GB" w:eastAsia="en-GB"/>
        </w:rPr>
        <w:tab/>
      </w:r>
      <w:r>
        <w:rPr>
          <w:b/>
          <w:lang w:val="en-GB" w:eastAsia="en-GB"/>
        </w:rPr>
        <w:tab/>
      </w:r>
      <w:r>
        <w:rPr>
          <w:b/>
          <w:lang w:val="en-GB" w:eastAsia="en-GB"/>
        </w:rPr>
        <w:tab/>
      </w:r>
      <w:r>
        <w:rPr>
          <w:b/>
          <w:lang w:val="en-GB" w:eastAsia="en-GB"/>
        </w:rPr>
        <w:tab/>
      </w:r>
      <w:r>
        <w:rPr>
          <w:b/>
          <w:lang w:val="en-GB" w:eastAsia="en-GB"/>
        </w:rPr>
        <w:tab/>
      </w:r>
      <w:r>
        <w:rPr>
          <w:b/>
          <w:lang w:val="en-GB" w:eastAsia="en-GB"/>
        </w:rPr>
        <w:tab/>
      </w:r>
      <w:r w:rsidR="001F001E" w:rsidRPr="001F001E">
        <w:rPr>
          <w:b/>
          <w:sz w:val="16"/>
          <w:szCs w:val="16"/>
          <w:lang w:val="en-GB" w:eastAsia="en-GB"/>
        </w:rPr>
        <w:t>Source: Invest Northern Ireland 2024</w:t>
      </w:r>
      <w:r w:rsidRPr="001F001E">
        <w:rPr>
          <w:b/>
          <w:sz w:val="16"/>
          <w:szCs w:val="16"/>
          <w:lang w:val="en-GB" w:eastAsia="en-GB"/>
        </w:rPr>
        <w:tab/>
      </w:r>
      <w:r w:rsidRPr="001F001E">
        <w:rPr>
          <w:b/>
          <w:sz w:val="16"/>
          <w:szCs w:val="16"/>
          <w:lang w:val="en-GB" w:eastAsia="en-GB"/>
        </w:rPr>
        <w:tab/>
      </w:r>
    </w:p>
    <w:sectPr w:rsidR="00C726B8" w:rsidRPr="001F001E" w:rsidSect="00B84558">
      <w:pgSz w:w="11906" w:h="16838" w:code="9"/>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B95A8A" w14:textId="77777777" w:rsidR="005630CE" w:rsidRDefault="005630CE">
      <w:r>
        <w:separator/>
      </w:r>
    </w:p>
    <w:p w14:paraId="31D314A9" w14:textId="77777777" w:rsidR="005630CE" w:rsidRDefault="005630CE"/>
    <w:p w14:paraId="09CC5789" w14:textId="77777777" w:rsidR="005630CE" w:rsidRDefault="005630CE"/>
  </w:endnote>
  <w:endnote w:type="continuationSeparator" w:id="0">
    <w:p w14:paraId="5E5EE07C" w14:textId="77777777" w:rsidR="005630CE" w:rsidRDefault="005630CE">
      <w:r>
        <w:continuationSeparator/>
      </w:r>
    </w:p>
    <w:p w14:paraId="78D6DC5F" w14:textId="77777777" w:rsidR="005630CE" w:rsidRDefault="005630CE"/>
    <w:p w14:paraId="65D114DB" w14:textId="77777777" w:rsidR="005630CE" w:rsidRDefault="005630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TC Franklin Gothic Book">
    <w:altName w:val="Bell MT"/>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ITC Stone Sans Std Medium">
    <w:altName w:val="Calibri"/>
    <w:panose1 w:val="00000000000000000000"/>
    <w:charset w:val="00"/>
    <w:family w:val="swiss"/>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95DD06" w14:textId="6E0786A0" w:rsidR="005630CE" w:rsidRDefault="005630CE" w:rsidP="00700DB6">
    <w:pPr>
      <w:pStyle w:val="DocumentFooter"/>
      <w:pBdr>
        <w:bottom w:val="single" w:sz="6" w:space="1" w:color="auto"/>
      </w:pBdr>
      <w:tabs>
        <w:tab w:val="left" w:pos="2640"/>
      </w:tabs>
      <w:spacing w:before="0" w:after="0" w:line="240" w:lineRule="auto"/>
      <w:ind w:left="0"/>
      <w:jc w:val="left"/>
      <w:rPr>
        <w:sz w:val="20"/>
        <w:szCs w:val="20"/>
      </w:rPr>
    </w:pPr>
  </w:p>
  <w:p w14:paraId="381F644A" w14:textId="0542CBBC" w:rsidR="005630CE" w:rsidRPr="00B12E51" w:rsidRDefault="005630CE" w:rsidP="006A1443">
    <w:pPr>
      <w:pStyle w:val="DocumentFooter"/>
      <w:spacing w:before="80" w:after="0" w:line="240" w:lineRule="auto"/>
      <w:ind w:left="0"/>
      <w:rPr>
        <w:sz w:val="20"/>
        <w:szCs w:val="20"/>
      </w:rPr>
    </w:pPr>
    <w:r w:rsidRPr="00AE66F0">
      <w:rPr>
        <w:i/>
        <w:sz w:val="20"/>
        <w:szCs w:val="20"/>
      </w:rPr>
      <w:t>Providing research and information services to the Northern Ireland Assembly</w:t>
    </w:r>
    <w:r w:rsidRPr="00B12E51">
      <w:rPr>
        <w:sz w:val="20"/>
        <w:szCs w:val="20"/>
      </w:rPr>
      <w:tab/>
    </w:r>
    <w:sdt>
      <w:sdtPr>
        <w:rPr>
          <w:sz w:val="20"/>
          <w:szCs w:val="20"/>
        </w:rPr>
        <w:id w:val="-1145660073"/>
        <w:docPartObj>
          <w:docPartGallery w:val="Page Numbers (Bottom of Page)"/>
          <w:docPartUnique/>
        </w:docPartObj>
      </w:sdtPr>
      <w:sdtEndPr>
        <w:rPr>
          <w:noProof/>
        </w:rPr>
      </w:sdtEndPr>
      <w:sdtContent>
        <w:r w:rsidRPr="00B12E51">
          <w:rPr>
            <w:sz w:val="20"/>
            <w:szCs w:val="20"/>
          </w:rPr>
          <w:fldChar w:fldCharType="begin"/>
        </w:r>
        <w:r w:rsidRPr="00B12E51">
          <w:rPr>
            <w:sz w:val="20"/>
            <w:szCs w:val="20"/>
          </w:rPr>
          <w:instrText xml:space="preserve"> PAGE   \* MERGEFORMAT </w:instrText>
        </w:r>
        <w:r w:rsidRPr="00B12E51">
          <w:rPr>
            <w:sz w:val="20"/>
            <w:szCs w:val="20"/>
          </w:rPr>
          <w:fldChar w:fldCharType="separate"/>
        </w:r>
        <w:r w:rsidRPr="00B12E51">
          <w:rPr>
            <w:noProof/>
            <w:sz w:val="20"/>
            <w:szCs w:val="20"/>
          </w:rPr>
          <w:t>2</w:t>
        </w:r>
        <w:r w:rsidRPr="00B12E51">
          <w:rPr>
            <w:noProof/>
            <w:sz w:val="20"/>
            <w:szCs w:val="20"/>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AB5DA" w14:textId="77777777" w:rsidR="005630CE" w:rsidRDefault="005630CE" w:rsidP="00AE66F0">
    <w:pPr>
      <w:pStyle w:val="DocumentFooter"/>
      <w:pBdr>
        <w:bottom w:val="single" w:sz="6" w:space="1" w:color="auto"/>
      </w:pBdr>
      <w:spacing w:before="0" w:after="0" w:line="240" w:lineRule="auto"/>
      <w:ind w:left="0"/>
      <w:rPr>
        <w:sz w:val="20"/>
        <w:szCs w:val="20"/>
      </w:rPr>
    </w:pPr>
  </w:p>
  <w:p w14:paraId="28360CF7" w14:textId="455E602D" w:rsidR="005630CE" w:rsidRPr="00AE66F0" w:rsidRDefault="005630CE" w:rsidP="00AE66F0">
    <w:pPr>
      <w:pStyle w:val="DocumentFooter"/>
      <w:spacing w:before="80" w:after="0" w:line="240" w:lineRule="auto"/>
      <w:ind w:left="0"/>
      <w:rPr>
        <w:sz w:val="20"/>
        <w:szCs w:val="20"/>
      </w:rPr>
    </w:pPr>
    <w:r w:rsidRPr="00AE66F0">
      <w:rPr>
        <w:i/>
        <w:sz w:val="20"/>
        <w:szCs w:val="20"/>
      </w:rPr>
      <w:t>Providing research and information services to the Northern Ireland Assembly</w:t>
    </w:r>
    <w:r w:rsidRPr="00B12E51">
      <w:rPr>
        <w:sz w:val="20"/>
        <w:szCs w:val="20"/>
      </w:rPr>
      <w:tab/>
    </w:r>
    <w:sdt>
      <w:sdtPr>
        <w:rPr>
          <w:sz w:val="20"/>
          <w:szCs w:val="20"/>
        </w:rPr>
        <w:id w:val="-1150902775"/>
        <w:docPartObj>
          <w:docPartGallery w:val="Page Numbers (Bottom of Page)"/>
          <w:docPartUnique/>
        </w:docPartObj>
      </w:sdtPr>
      <w:sdtEndPr>
        <w:rPr>
          <w:noProof/>
        </w:rPr>
      </w:sdtEndPr>
      <w:sdtContent>
        <w:r w:rsidRPr="00B12E51">
          <w:rPr>
            <w:sz w:val="20"/>
            <w:szCs w:val="20"/>
          </w:rPr>
          <w:fldChar w:fldCharType="begin"/>
        </w:r>
        <w:r w:rsidRPr="00B12E51">
          <w:rPr>
            <w:sz w:val="20"/>
            <w:szCs w:val="20"/>
          </w:rPr>
          <w:instrText xml:space="preserve"> PAGE   \* MERGEFORMAT </w:instrText>
        </w:r>
        <w:r w:rsidRPr="00B12E51">
          <w:rPr>
            <w:sz w:val="20"/>
            <w:szCs w:val="20"/>
          </w:rPr>
          <w:fldChar w:fldCharType="separate"/>
        </w:r>
        <w:r>
          <w:rPr>
            <w:sz w:val="20"/>
            <w:szCs w:val="20"/>
          </w:rPr>
          <w:t>2</w:t>
        </w:r>
        <w:r w:rsidRPr="00B12E51">
          <w:rPr>
            <w:noProof/>
            <w:sz w:val="20"/>
            <w:szCs w:val="20"/>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61D71F" w14:textId="77777777" w:rsidR="005630CE" w:rsidRDefault="005630CE" w:rsidP="00394C2C">
      <w:pPr>
        <w:spacing w:after="120" w:line="240" w:lineRule="auto"/>
      </w:pPr>
      <w:r>
        <w:separator/>
      </w:r>
    </w:p>
  </w:footnote>
  <w:footnote w:type="continuationSeparator" w:id="0">
    <w:p w14:paraId="4D7CC404" w14:textId="77777777" w:rsidR="005630CE" w:rsidRDefault="005630CE" w:rsidP="001F6615">
      <w:pPr>
        <w:spacing w:after="120" w:line="240" w:lineRule="auto"/>
      </w:pPr>
      <w:r>
        <w:continuationSeparator/>
      </w:r>
    </w:p>
  </w:footnote>
  <w:footnote w:type="continuationNotice" w:id="1">
    <w:p w14:paraId="1F9F63EF" w14:textId="77777777" w:rsidR="005630CE" w:rsidRDefault="005630CE">
      <w:pPr>
        <w:spacing w:before="0" w:after="0" w:line="240" w:lineRule="auto"/>
      </w:pPr>
    </w:p>
  </w:footnote>
  <w:footnote w:id="2">
    <w:p w14:paraId="717FCBED" w14:textId="70575442" w:rsidR="002301E9" w:rsidRPr="0089724B" w:rsidRDefault="002301E9" w:rsidP="002301E9">
      <w:pPr>
        <w:pStyle w:val="FootnoteText"/>
        <w:rPr>
          <w:lang w:val="en-GB"/>
        </w:rPr>
      </w:pPr>
      <w:r>
        <w:rPr>
          <w:rStyle w:val="FootnoteReference"/>
        </w:rPr>
        <w:footnoteRef/>
      </w:r>
      <w:r>
        <w:t xml:space="preserve"> </w:t>
      </w:r>
      <w:r>
        <w:rPr>
          <w:lang w:val="en-GB"/>
        </w:rPr>
        <w:t xml:space="preserve">Whilst </w:t>
      </w:r>
      <w:r w:rsidR="001B1D54">
        <w:rPr>
          <w:lang w:val="en-GB"/>
        </w:rPr>
        <w:t>acknowledging that b</w:t>
      </w:r>
      <w:r w:rsidR="001B1D54" w:rsidRPr="001B1D54">
        <w:rPr>
          <w:lang w:val="en-GB"/>
        </w:rPr>
        <w:t xml:space="preserve">anking </w:t>
      </w:r>
      <w:r>
        <w:rPr>
          <w:lang w:val="en-GB"/>
        </w:rPr>
        <w:t>is a Reserved matter</w:t>
      </w:r>
      <w:r w:rsidR="00C11D0F">
        <w:rPr>
          <w:lang w:val="en-GB"/>
        </w:rPr>
        <w:t xml:space="preserve">, the Committee agreed at its </w:t>
      </w:r>
      <w:hyperlink r:id="rId1" w:history="1">
        <w:r w:rsidR="00C11D0F" w:rsidRPr="0091675A">
          <w:rPr>
            <w:rStyle w:val="Hyperlink"/>
            <w:lang w:val="en-GB"/>
          </w:rPr>
          <w:t>meeting on 25 September 2024</w:t>
        </w:r>
      </w:hyperlink>
      <w:r w:rsidR="00C11D0F">
        <w:rPr>
          <w:lang w:val="en-GB"/>
        </w:rPr>
        <w:t xml:space="preserve"> to examine issues in relation to financial services in Northern Ireland, in the light of recent bank closures here</w:t>
      </w:r>
      <w:r w:rsidR="00AE1E95">
        <w:rPr>
          <w:lang w:val="en-GB"/>
        </w:rPr>
        <w:t>.</w:t>
      </w:r>
      <w:r w:rsidR="00C11D0F">
        <w:rPr>
          <w:lang w:val="en-GB"/>
        </w:rPr>
        <w:t xml:space="preserve"> </w:t>
      </w:r>
    </w:p>
  </w:footnote>
  <w:footnote w:id="3">
    <w:p w14:paraId="28B4C9E3" w14:textId="77777777" w:rsidR="005630CE" w:rsidRPr="00E30A8D" w:rsidRDefault="005630CE" w:rsidP="00E30A8D">
      <w:pPr>
        <w:pStyle w:val="FootnoteText"/>
        <w:rPr>
          <w:lang w:val="en-GB"/>
        </w:rPr>
      </w:pPr>
      <w:r>
        <w:rPr>
          <w:rStyle w:val="FootnoteReference"/>
        </w:rPr>
        <w:footnoteRef/>
      </w:r>
      <w:r>
        <w:t xml:space="preserve"> </w:t>
      </w:r>
      <w:r w:rsidRPr="00E30A8D">
        <w:rPr>
          <w:lang w:val="en-GB"/>
        </w:rPr>
        <w:t xml:space="preserve">DfE(2020) </w:t>
      </w:r>
      <w:r w:rsidRPr="00E30A8D">
        <w:rPr>
          <w:i/>
          <w:lang w:val="en-GB"/>
        </w:rPr>
        <w:t>Mapping Northern Ireland’s Financial Services Sector</w:t>
      </w:r>
      <w:r w:rsidRPr="00E30A8D">
        <w:rPr>
          <w:lang w:val="en-GB"/>
        </w:rPr>
        <w:t xml:space="preserve">: </w:t>
      </w:r>
      <w:hyperlink r:id="rId2" w:history="1">
        <w:r w:rsidRPr="00E30A8D">
          <w:rPr>
            <w:rStyle w:val="Hyperlink"/>
            <w:lang w:val="en-GB"/>
          </w:rPr>
          <w:t>https://www.economy-ni.gov.uk/publications/mapping-northern-irelands-financial-services-sector</w:t>
        </w:r>
      </w:hyperlink>
    </w:p>
    <w:p w14:paraId="3F3E379B" w14:textId="701E878C" w:rsidR="005630CE" w:rsidRPr="00E30A8D" w:rsidRDefault="005630CE">
      <w:pPr>
        <w:pStyle w:val="FootnoteText"/>
        <w:rPr>
          <w:lang w:val="en-GB"/>
        </w:rPr>
      </w:pPr>
    </w:p>
  </w:footnote>
  <w:footnote w:id="4">
    <w:p w14:paraId="26DF5894" w14:textId="6F0FAE90" w:rsidR="005630CE" w:rsidRPr="002F11BF" w:rsidRDefault="005630CE">
      <w:pPr>
        <w:pStyle w:val="FootnoteText"/>
        <w:rPr>
          <w:lang w:val="en-GB"/>
        </w:rPr>
      </w:pPr>
      <w:r>
        <w:rPr>
          <w:rStyle w:val="FootnoteReference"/>
        </w:rPr>
        <w:footnoteRef/>
      </w:r>
      <w:r>
        <w:t xml:space="preserve"> </w:t>
      </w:r>
      <w:r w:rsidRPr="002F11BF">
        <w:rPr>
          <w:lang w:val="en-GB"/>
        </w:rPr>
        <w:t xml:space="preserve">DfE(2020) </w:t>
      </w:r>
      <w:r w:rsidRPr="002F11BF">
        <w:rPr>
          <w:i/>
          <w:lang w:val="en-GB"/>
        </w:rPr>
        <w:t>Mapping Northern Ireland’s Financial Services Sector</w:t>
      </w:r>
      <w:r w:rsidRPr="002F11BF">
        <w:rPr>
          <w:lang w:val="en-GB"/>
        </w:rPr>
        <w:t xml:space="preserve">: </w:t>
      </w:r>
      <w:hyperlink r:id="rId3" w:history="1">
        <w:r w:rsidRPr="002F11BF">
          <w:rPr>
            <w:rStyle w:val="Hyperlink"/>
            <w:lang w:val="en-GB"/>
          </w:rPr>
          <w:t>https://www.economy-ni.gov.uk/publications/mapping-northern-irelands-financial-services-sector</w:t>
        </w:r>
      </w:hyperlink>
    </w:p>
  </w:footnote>
  <w:footnote w:id="5">
    <w:p w14:paraId="752906A9" w14:textId="0393BF8F" w:rsidR="005630CE" w:rsidRPr="002F11BF" w:rsidRDefault="005630CE">
      <w:pPr>
        <w:pStyle w:val="FootnoteText"/>
        <w:rPr>
          <w:lang w:val="en-GB"/>
        </w:rPr>
      </w:pPr>
      <w:r>
        <w:rPr>
          <w:rStyle w:val="FootnoteReference"/>
        </w:rPr>
        <w:footnoteRef/>
      </w:r>
      <w:r>
        <w:t xml:space="preserve"> </w:t>
      </w:r>
      <w:r w:rsidRPr="002F11BF">
        <w:rPr>
          <w:lang w:val="en-GB"/>
        </w:rPr>
        <w:t xml:space="preserve">DfE(2020) </w:t>
      </w:r>
      <w:r w:rsidRPr="002F11BF">
        <w:rPr>
          <w:i/>
          <w:lang w:val="en-GB"/>
        </w:rPr>
        <w:t>Mapping Northern Ireland’s Financial Services Sector</w:t>
      </w:r>
      <w:r w:rsidRPr="002F11BF">
        <w:rPr>
          <w:lang w:val="en-GB"/>
        </w:rPr>
        <w:t xml:space="preserve">: </w:t>
      </w:r>
      <w:hyperlink r:id="rId4" w:history="1">
        <w:r w:rsidRPr="002F11BF">
          <w:rPr>
            <w:rStyle w:val="Hyperlink"/>
            <w:lang w:val="en-GB"/>
          </w:rPr>
          <w:t>https://www.economy-ni.gov.uk/publications/mapping-northern-irelands-financial-services-sector</w:t>
        </w:r>
      </w:hyperlink>
    </w:p>
  </w:footnote>
  <w:footnote w:id="6">
    <w:p w14:paraId="76A5D454" w14:textId="573409A2" w:rsidR="005630CE" w:rsidRPr="00274F89" w:rsidRDefault="005630CE" w:rsidP="00274F89">
      <w:pPr>
        <w:pStyle w:val="FootnoteText"/>
        <w:rPr>
          <w:lang w:val="en-GB"/>
        </w:rPr>
      </w:pPr>
      <w:r>
        <w:rPr>
          <w:rStyle w:val="FootnoteReference"/>
        </w:rPr>
        <w:footnoteRef/>
      </w:r>
      <w:r>
        <w:t xml:space="preserve"> </w:t>
      </w:r>
      <w:r>
        <w:rPr>
          <w:lang w:val="en-GB"/>
        </w:rPr>
        <w:t>As cited directly above.</w:t>
      </w:r>
    </w:p>
  </w:footnote>
  <w:footnote w:id="7">
    <w:p w14:paraId="313FBE7C" w14:textId="7C1F9DDF" w:rsidR="005630CE" w:rsidRPr="00212C9A" w:rsidRDefault="005630CE">
      <w:pPr>
        <w:pStyle w:val="FootnoteText"/>
        <w:rPr>
          <w:lang w:val="en-GB"/>
        </w:rPr>
      </w:pPr>
      <w:r>
        <w:rPr>
          <w:rStyle w:val="FootnoteReference"/>
        </w:rPr>
        <w:footnoteRef/>
      </w:r>
      <w:r>
        <w:t xml:space="preserve"> </w:t>
      </w:r>
      <w:r w:rsidRPr="00212C9A">
        <w:rPr>
          <w:lang w:val="en-GB"/>
        </w:rPr>
        <w:t xml:space="preserve">DfE(2020) </w:t>
      </w:r>
      <w:r w:rsidRPr="00212C9A">
        <w:rPr>
          <w:i/>
          <w:lang w:val="en-GB"/>
        </w:rPr>
        <w:t>Mapping Northern Ireland’s Financial Services Sector</w:t>
      </w:r>
      <w:r w:rsidRPr="00212C9A">
        <w:rPr>
          <w:lang w:val="en-GB"/>
        </w:rPr>
        <w:t xml:space="preserve">: </w:t>
      </w:r>
      <w:hyperlink r:id="rId5" w:history="1">
        <w:r w:rsidRPr="00212C9A">
          <w:rPr>
            <w:rStyle w:val="Hyperlink"/>
            <w:lang w:val="en-GB"/>
          </w:rPr>
          <w:t>https://www.economy-ni.gov.uk/publications/mapping-northern-irelands-financial-services-sector</w:t>
        </w:r>
      </w:hyperlink>
    </w:p>
  </w:footnote>
  <w:footnote w:id="8">
    <w:p w14:paraId="42998AA7" w14:textId="3842F64D" w:rsidR="00B91EF2" w:rsidRPr="00B91EF2" w:rsidRDefault="00B91EF2">
      <w:pPr>
        <w:pStyle w:val="FootnoteText"/>
        <w:rPr>
          <w:lang w:val="en-GB"/>
        </w:rPr>
      </w:pPr>
      <w:r>
        <w:rPr>
          <w:rStyle w:val="FootnoteReference"/>
        </w:rPr>
        <w:footnoteRef/>
      </w:r>
      <w:r>
        <w:t xml:space="preserve"> </w:t>
      </w:r>
      <w:r w:rsidRPr="00B91EF2">
        <w:rPr>
          <w:lang w:val="en-GB"/>
        </w:rPr>
        <w:t xml:space="preserve">Consumer Council Northern Ireland (2023) </w:t>
      </w:r>
      <w:r w:rsidRPr="00B91EF2">
        <w:rPr>
          <w:i/>
          <w:lang w:val="en-GB"/>
        </w:rPr>
        <w:t>Access to Banking Services in Northern Ireland</w:t>
      </w:r>
      <w:r w:rsidRPr="00B91EF2">
        <w:rPr>
          <w:lang w:val="en-GB"/>
        </w:rPr>
        <w:t>:</w:t>
      </w:r>
      <w:r w:rsidRPr="00B91EF2">
        <w:t xml:space="preserve"> </w:t>
      </w:r>
      <w:hyperlink r:id="rId6" w:history="1">
        <w:r w:rsidRPr="00B91EF2">
          <w:rPr>
            <w:rStyle w:val="Hyperlink"/>
            <w:lang w:val="en-GB"/>
          </w:rPr>
          <w:t>https://www.consumercouncil.org.uk/research/access-banking-services-northern-ireland</w:t>
        </w:r>
      </w:hyperlink>
    </w:p>
  </w:footnote>
  <w:footnote w:id="9">
    <w:p w14:paraId="3A56E1C2" w14:textId="2B508ED4" w:rsidR="005630CE" w:rsidRPr="00BD6258" w:rsidRDefault="005630CE">
      <w:pPr>
        <w:pStyle w:val="FootnoteText"/>
        <w:rPr>
          <w:lang w:val="en-GB"/>
        </w:rPr>
      </w:pPr>
      <w:r>
        <w:rPr>
          <w:rStyle w:val="FootnoteReference"/>
        </w:rPr>
        <w:footnoteRef/>
      </w:r>
      <w:r>
        <w:t xml:space="preserve"> </w:t>
      </w:r>
      <w:r w:rsidR="00B91EF2" w:rsidRPr="00B91EF2">
        <w:rPr>
          <w:lang w:val="en-GB"/>
        </w:rPr>
        <w:t>As</w:t>
      </w:r>
      <w:r w:rsidR="00B91EF2">
        <w:rPr>
          <w:lang w:val="en-GB"/>
        </w:rPr>
        <w:t xml:space="preserve"> cited directly above.</w:t>
      </w:r>
    </w:p>
  </w:footnote>
  <w:footnote w:id="10">
    <w:p w14:paraId="33DB1AA6" w14:textId="551A4875" w:rsidR="005630CE" w:rsidRPr="00F14BB1" w:rsidRDefault="005630CE">
      <w:pPr>
        <w:pStyle w:val="FootnoteText"/>
        <w:rPr>
          <w:lang w:val="en-GB"/>
        </w:rPr>
      </w:pPr>
      <w:r>
        <w:rPr>
          <w:rStyle w:val="FootnoteReference"/>
        </w:rPr>
        <w:footnoteRef/>
      </w:r>
      <w:r>
        <w:t xml:space="preserve"> </w:t>
      </w:r>
      <w:hyperlink r:id="rId7" w:history="1">
        <w:r w:rsidRPr="0081720F">
          <w:rPr>
            <w:rStyle w:val="Hyperlink"/>
          </w:rPr>
          <w:t>https://www.fca.org.uk/publications/data/access-cash-coverage-uk-2023-q2</w:t>
        </w:r>
      </w:hyperlink>
      <w:r>
        <w:t xml:space="preserve"> </w:t>
      </w:r>
    </w:p>
  </w:footnote>
  <w:footnote w:id="11">
    <w:p w14:paraId="29AFC1E1" w14:textId="77777777" w:rsidR="005630CE" w:rsidRPr="006F1412" w:rsidRDefault="005630CE" w:rsidP="0068640B">
      <w:pPr>
        <w:pStyle w:val="FootnoteText"/>
        <w:rPr>
          <w:lang w:val="en-GB"/>
        </w:rPr>
      </w:pPr>
      <w:r>
        <w:rPr>
          <w:rStyle w:val="FootnoteReference"/>
        </w:rPr>
        <w:footnoteRef/>
      </w:r>
      <w:r>
        <w:t xml:space="preserve"> </w:t>
      </w:r>
      <w:hyperlink r:id="rId8" w:history="1">
        <w:r w:rsidRPr="00631F6E">
          <w:rPr>
            <w:rStyle w:val="Hyperlink"/>
          </w:rPr>
          <w:t>https://www.fca.org.uk/publications/data/access-cash-coverage-uk-2023-q2</w:t>
        </w:r>
      </w:hyperlink>
      <w:r>
        <w:t xml:space="preserve">  </w:t>
      </w:r>
    </w:p>
  </w:footnote>
  <w:footnote w:id="12">
    <w:p w14:paraId="0F403452" w14:textId="3E18C485" w:rsidR="005630CE" w:rsidRPr="004D387B" w:rsidRDefault="005630CE">
      <w:pPr>
        <w:pStyle w:val="FootnoteText"/>
        <w:rPr>
          <w:lang w:val="en-GB"/>
        </w:rPr>
      </w:pPr>
      <w:r>
        <w:rPr>
          <w:rStyle w:val="FootnoteReference"/>
        </w:rPr>
        <w:footnoteRef/>
      </w:r>
      <w:r>
        <w:t xml:space="preserve"> </w:t>
      </w:r>
      <w:r>
        <w:rPr>
          <w:lang w:val="en-GB"/>
        </w:rPr>
        <w:t>Customer can access cash free of charge from an ATM or over a post office or bank counter.</w:t>
      </w:r>
    </w:p>
  </w:footnote>
  <w:footnote w:id="13">
    <w:p w14:paraId="56ADA9DB" w14:textId="77777777" w:rsidR="005630CE" w:rsidRPr="00173CF5" w:rsidRDefault="005630CE" w:rsidP="0068640B">
      <w:pPr>
        <w:pStyle w:val="FootnoteText"/>
        <w:rPr>
          <w:lang w:val="en-GB"/>
        </w:rPr>
      </w:pPr>
      <w:r>
        <w:rPr>
          <w:rStyle w:val="FootnoteReference"/>
        </w:rPr>
        <w:footnoteRef/>
      </w:r>
      <w:r>
        <w:t xml:space="preserve"> </w:t>
      </w:r>
      <w:r>
        <w:rPr>
          <w:lang w:val="en-GB"/>
        </w:rPr>
        <w:t xml:space="preserve">FCA (2024) </w:t>
      </w:r>
      <w:r w:rsidRPr="00173CF5">
        <w:rPr>
          <w:i/>
          <w:lang w:val="en-GB"/>
        </w:rPr>
        <w:t>Access to cash coverage in the UK 2023 Q2</w:t>
      </w:r>
      <w:r>
        <w:rPr>
          <w:lang w:val="en-GB"/>
        </w:rPr>
        <w:t xml:space="preserve">: </w:t>
      </w:r>
      <w:hyperlink r:id="rId9" w:anchor="note-2" w:history="1">
        <w:r w:rsidRPr="00E17385">
          <w:rPr>
            <w:rStyle w:val="Hyperlink"/>
            <w:lang w:val="en-GB"/>
          </w:rPr>
          <w:t>https://www.fca.org.uk/publications/data/access-cash-coverage-uk-2023-q2#note-2</w:t>
        </w:r>
      </w:hyperlink>
      <w:r>
        <w:rPr>
          <w:lang w:val="en-GB"/>
        </w:rPr>
        <w:t xml:space="preserve"> </w:t>
      </w:r>
    </w:p>
  </w:footnote>
  <w:footnote w:id="14">
    <w:p w14:paraId="0E2C51CC" w14:textId="77777777" w:rsidR="005630CE" w:rsidRPr="002D136A" w:rsidRDefault="005630CE" w:rsidP="00380A43">
      <w:pPr>
        <w:pStyle w:val="FootnoteText"/>
        <w:rPr>
          <w:lang w:val="en-GB"/>
        </w:rPr>
      </w:pPr>
      <w:r>
        <w:rPr>
          <w:rStyle w:val="FootnoteReference"/>
        </w:rPr>
        <w:footnoteRef/>
      </w:r>
      <w:r>
        <w:t xml:space="preserve"> </w:t>
      </w:r>
      <w:bookmarkStart w:id="7" w:name="_Hlk178607405"/>
      <w:r>
        <w:rPr>
          <w:lang w:val="en-GB"/>
        </w:rPr>
        <w:t xml:space="preserve">Bank of England (2021) </w:t>
      </w:r>
      <w:r w:rsidRPr="002D136A">
        <w:rPr>
          <w:i/>
          <w:lang w:val="en-GB"/>
        </w:rPr>
        <w:t>Update on the future of Wholesale Cash Distribution in the UK</w:t>
      </w:r>
      <w:r>
        <w:rPr>
          <w:lang w:val="en-GB"/>
        </w:rPr>
        <w:t xml:space="preserve">: </w:t>
      </w:r>
      <w:hyperlink r:id="rId10" w:anchor="chapter-3" w:history="1">
        <w:r w:rsidRPr="00E17385">
          <w:rPr>
            <w:rStyle w:val="Hyperlink"/>
            <w:lang w:val="en-GB"/>
          </w:rPr>
          <w:t>https://www.bankofengland.co.uk/paper/2021/update-on-the-future-of-wholesale-cash-distribution-in-the-uk#chapter-3</w:t>
        </w:r>
      </w:hyperlink>
      <w:r>
        <w:rPr>
          <w:lang w:val="en-GB"/>
        </w:rPr>
        <w:t xml:space="preserve"> </w:t>
      </w:r>
      <w:bookmarkEnd w:id="7"/>
    </w:p>
  </w:footnote>
  <w:footnote w:id="15">
    <w:p w14:paraId="554AB548" w14:textId="77777777" w:rsidR="005630CE" w:rsidRPr="007D3981" w:rsidRDefault="005630CE" w:rsidP="00380A43">
      <w:pPr>
        <w:pStyle w:val="FootnoteText"/>
        <w:rPr>
          <w:lang w:val="en-GB"/>
        </w:rPr>
      </w:pPr>
      <w:r>
        <w:rPr>
          <w:rStyle w:val="FootnoteReference"/>
        </w:rPr>
        <w:footnoteRef/>
      </w:r>
      <w:r>
        <w:t xml:space="preserve"> </w:t>
      </w:r>
      <w:r>
        <w:rPr>
          <w:lang w:val="en-GB"/>
        </w:rPr>
        <w:t xml:space="preserve">Financial Times (2024) </w:t>
      </w:r>
      <w:r w:rsidRPr="007D3981">
        <w:rPr>
          <w:i/>
          <w:lang w:val="en-GB"/>
        </w:rPr>
        <w:t>Bank of England says cash still ‘hugely relevant’</w:t>
      </w:r>
      <w:r>
        <w:rPr>
          <w:i/>
          <w:lang w:val="en-GB"/>
        </w:rPr>
        <w:t xml:space="preserve">: </w:t>
      </w:r>
      <w:hyperlink r:id="rId11" w:history="1">
        <w:r w:rsidRPr="007D3981">
          <w:rPr>
            <w:rStyle w:val="Hyperlink"/>
            <w:lang w:val="en-GB"/>
          </w:rPr>
          <w:t>https://www.ft.com/content/4197b85a-d4a1-469b-9d7f-aa424363d506</w:t>
        </w:r>
      </w:hyperlink>
      <w:r w:rsidRPr="007D3981">
        <w:rPr>
          <w:lang w:val="en-GB"/>
        </w:rPr>
        <w:t xml:space="preserve"> </w:t>
      </w:r>
    </w:p>
  </w:footnote>
  <w:footnote w:id="16">
    <w:p w14:paraId="2DE1BE92" w14:textId="4B610791" w:rsidR="005630CE" w:rsidRPr="00365E06" w:rsidRDefault="005630CE" w:rsidP="00365E06">
      <w:pPr>
        <w:pStyle w:val="FootnoteText"/>
        <w:rPr>
          <w:lang w:val="en-GB"/>
        </w:rPr>
      </w:pPr>
      <w:r>
        <w:rPr>
          <w:rStyle w:val="FootnoteReference"/>
        </w:rPr>
        <w:footnoteRef/>
      </w:r>
      <w:r>
        <w:t xml:space="preserve"> </w:t>
      </w:r>
      <w:r>
        <w:rPr>
          <w:lang w:val="en-GB"/>
        </w:rPr>
        <w:t xml:space="preserve">House of Commons Library (2024) </w:t>
      </w:r>
      <w:r w:rsidRPr="00365E06">
        <w:rPr>
          <w:i/>
          <w:lang w:val="en-GB"/>
        </w:rPr>
        <w:t>The future of local banking services and access to cash:</w:t>
      </w:r>
      <w:r w:rsidRPr="00365E06">
        <w:t xml:space="preserve"> </w:t>
      </w:r>
      <w:hyperlink r:id="rId12" w:history="1">
        <w:r w:rsidRPr="00DB4004">
          <w:rPr>
            <w:rStyle w:val="Hyperlink"/>
            <w:lang w:val="en-GB"/>
          </w:rPr>
          <w:t>https://commonslibrary.parliament.uk/research-briefings/cbp-9453/</w:t>
        </w:r>
      </w:hyperlink>
      <w:r>
        <w:rPr>
          <w:lang w:val="en-GB"/>
        </w:rPr>
        <w:t xml:space="preserve"> </w:t>
      </w:r>
    </w:p>
    <w:p w14:paraId="2589A236" w14:textId="3B644502" w:rsidR="005630CE" w:rsidRPr="00365E06" w:rsidRDefault="005630CE">
      <w:pPr>
        <w:pStyle w:val="FootnoteText"/>
        <w:rPr>
          <w:lang w:val="en-GB"/>
        </w:rPr>
      </w:pPr>
    </w:p>
  </w:footnote>
  <w:footnote w:id="17">
    <w:p w14:paraId="1E4BAF24" w14:textId="64D5B5A6" w:rsidR="005630CE" w:rsidRPr="00380A43" w:rsidRDefault="005630CE" w:rsidP="00E75BDC">
      <w:pPr>
        <w:pStyle w:val="FootnoteText"/>
        <w:rPr>
          <w:lang w:val="en-GB"/>
        </w:rPr>
      </w:pPr>
      <w:r>
        <w:rPr>
          <w:rStyle w:val="FootnoteReference"/>
        </w:rPr>
        <w:footnoteRef/>
      </w:r>
      <w:r>
        <w:t xml:space="preserve"> T</w:t>
      </w:r>
      <w:r w:rsidRPr="00380A43">
        <w:t>he United Kingdom’s largest cash network</w:t>
      </w:r>
      <w:r>
        <w:t>.</w:t>
      </w:r>
    </w:p>
  </w:footnote>
  <w:footnote w:id="18">
    <w:p w14:paraId="7D8179FD" w14:textId="148D8ACA" w:rsidR="005630CE" w:rsidRPr="00E75BDC" w:rsidRDefault="005630CE">
      <w:pPr>
        <w:pStyle w:val="FootnoteText"/>
        <w:rPr>
          <w:lang w:val="en-GB"/>
        </w:rPr>
      </w:pPr>
      <w:r>
        <w:rPr>
          <w:rStyle w:val="FootnoteReference"/>
        </w:rPr>
        <w:footnoteRef/>
      </w:r>
      <w:r>
        <w:t xml:space="preserve"> </w:t>
      </w:r>
      <w:hyperlink r:id="rId13" w:history="1">
        <w:r w:rsidRPr="00DB4004">
          <w:rPr>
            <w:rStyle w:val="Hyperlink"/>
          </w:rPr>
          <w:t>https://www.accesstocash.org.uk/</w:t>
        </w:r>
      </w:hyperlink>
      <w:r>
        <w:t xml:space="preserve"> </w:t>
      </w:r>
    </w:p>
  </w:footnote>
  <w:footnote w:id="19">
    <w:p w14:paraId="2A50A6EB" w14:textId="77777777" w:rsidR="005630CE" w:rsidRPr="00CE112C" w:rsidRDefault="005630CE" w:rsidP="00210628">
      <w:pPr>
        <w:pStyle w:val="FootnoteText"/>
        <w:rPr>
          <w:lang w:val="en-GB"/>
        </w:rPr>
      </w:pPr>
      <w:r>
        <w:rPr>
          <w:rStyle w:val="FootnoteReference"/>
        </w:rPr>
        <w:footnoteRef/>
      </w:r>
      <w:r>
        <w:t xml:space="preserve"> </w:t>
      </w:r>
      <w:r w:rsidRPr="00CE112C">
        <w:rPr>
          <w:lang w:val="en-GB"/>
        </w:rPr>
        <w:t xml:space="preserve">Bank of England (2021) </w:t>
      </w:r>
      <w:r w:rsidRPr="00CE112C">
        <w:rPr>
          <w:i/>
          <w:lang w:val="en-GB"/>
        </w:rPr>
        <w:t>Update on the future of Wholesale Cash Distribution in the UK</w:t>
      </w:r>
      <w:r w:rsidRPr="00CE112C">
        <w:rPr>
          <w:lang w:val="en-GB"/>
        </w:rPr>
        <w:t xml:space="preserve">: </w:t>
      </w:r>
      <w:hyperlink r:id="rId14" w:anchor="chapter-3" w:history="1">
        <w:r w:rsidRPr="00CE112C">
          <w:rPr>
            <w:rStyle w:val="Hyperlink"/>
            <w:lang w:val="en-GB"/>
          </w:rPr>
          <w:t>https://www.bankofengland.co.uk/paper/2021/update-on-the-future-of-wholesale-cash-distribution-in-the-uk#chapter-3</w:t>
        </w:r>
      </w:hyperlink>
      <w:r w:rsidRPr="00CE112C">
        <w:rPr>
          <w:lang w:val="en-GB"/>
        </w:rPr>
        <w:t xml:space="preserve"> </w:t>
      </w:r>
    </w:p>
  </w:footnote>
  <w:footnote w:id="20">
    <w:p w14:paraId="58A4C1B1" w14:textId="7F4F39E3" w:rsidR="005630CE" w:rsidRPr="00CE112C" w:rsidRDefault="005630CE" w:rsidP="00210628">
      <w:pPr>
        <w:pStyle w:val="FootnoteText"/>
        <w:rPr>
          <w:lang w:val="en-GB"/>
        </w:rPr>
      </w:pPr>
      <w:r>
        <w:rPr>
          <w:rStyle w:val="FootnoteReference"/>
        </w:rPr>
        <w:footnoteRef/>
      </w:r>
      <w:r>
        <w:t xml:space="preserve"> </w:t>
      </w:r>
      <w:r w:rsidRPr="00CE112C">
        <w:rPr>
          <w:lang w:val="en-GB"/>
        </w:rPr>
        <w:t xml:space="preserve">Bank of England (2021) </w:t>
      </w:r>
      <w:r w:rsidRPr="00CE112C">
        <w:rPr>
          <w:i/>
          <w:lang w:val="en-GB"/>
        </w:rPr>
        <w:t>Update on the future of Wholesale Cash Distribution in the UK</w:t>
      </w:r>
      <w:r w:rsidRPr="00CE112C">
        <w:rPr>
          <w:lang w:val="en-GB"/>
        </w:rPr>
        <w:t xml:space="preserve">: </w:t>
      </w:r>
      <w:hyperlink r:id="rId15" w:anchor="chapter-3" w:history="1">
        <w:r w:rsidRPr="00CE112C">
          <w:rPr>
            <w:rStyle w:val="Hyperlink"/>
            <w:lang w:val="en-GB"/>
          </w:rPr>
          <w:t>https://www.bankofengland.co.uk/paper/2021/update-on-the-future-of-wholesale-cash-distribution-in-the-uk#chapter-3</w:t>
        </w:r>
      </w:hyperlink>
      <w:r w:rsidRPr="00CE112C">
        <w:rPr>
          <w:lang w:val="en-GB"/>
        </w:rPr>
        <w:t xml:space="preserve"> </w:t>
      </w:r>
    </w:p>
  </w:footnote>
  <w:footnote w:id="21">
    <w:p w14:paraId="12F653C1" w14:textId="7E8FA53E" w:rsidR="005630CE" w:rsidRPr="00207D15" w:rsidRDefault="005630CE">
      <w:pPr>
        <w:pStyle w:val="FootnoteText"/>
        <w:rPr>
          <w:lang w:val="en-GB"/>
        </w:rPr>
      </w:pPr>
      <w:r>
        <w:rPr>
          <w:rStyle w:val="FootnoteReference"/>
        </w:rPr>
        <w:footnoteRef/>
      </w:r>
      <w:r>
        <w:t xml:space="preserve"> </w:t>
      </w:r>
      <w:r>
        <w:rPr>
          <w:lang w:val="en-GB"/>
        </w:rPr>
        <w:t xml:space="preserve">Consumer Council Northern Ireland (2023) </w:t>
      </w:r>
      <w:r w:rsidRPr="00207D15">
        <w:rPr>
          <w:i/>
          <w:lang w:val="en-GB"/>
        </w:rPr>
        <w:t>Access to Banking Services in Northern Ireland</w:t>
      </w:r>
      <w:r>
        <w:rPr>
          <w:lang w:val="en-GB"/>
        </w:rPr>
        <w:t>:</w:t>
      </w:r>
      <w:r w:rsidRPr="00207D15">
        <w:t xml:space="preserve"> </w:t>
      </w:r>
      <w:hyperlink r:id="rId16" w:history="1">
        <w:r w:rsidRPr="0081720F">
          <w:rPr>
            <w:rStyle w:val="Hyperlink"/>
            <w:lang w:val="en-GB"/>
          </w:rPr>
          <w:t>https://www.consumercouncil.org.uk/research/access-banking-services-northern-ireland</w:t>
        </w:r>
      </w:hyperlink>
      <w:r>
        <w:rPr>
          <w:lang w:val="en-GB"/>
        </w:rPr>
        <w:t xml:space="preserve"> </w:t>
      </w:r>
    </w:p>
  </w:footnote>
  <w:footnote w:id="22">
    <w:p w14:paraId="1955ADFE" w14:textId="396F01C0" w:rsidR="005630CE" w:rsidRPr="00FB1127" w:rsidRDefault="005630CE">
      <w:pPr>
        <w:pStyle w:val="FootnoteText"/>
        <w:rPr>
          <w:lang w:val="en-GB"/>
        </w:rPr>
      </w:pPr>
      <w:r>
        <w:rPr>
          <w:rStyle w:val="FootnoteReference"/>
        </w:rPr>
        <w:footnoteRef/>
      </w:r>
      <w:r>
        <w:t xml:space="preserve"> </w:t>
      </w:r>
      <w:r>
        <w:rPr>
          <w:lang w:val="en-GB"/>
        </w:rPr>
        <w:t xml:space="preserve">House of Commons Library (2024) </w:t>
      </w:r>
      <w:r w:rsidRPr="00FB1127">
        <w:rPr>
          <w:i/>
          <w:lang w:val="en-GB"/>
        </w:rPr>
        <w:t>Post Office Numbers</w:t>
      </w:r>
      <w:r>
        <w:rPr>
          <w:lang w:val="en-GB"/>
        </w:rPr>
        <w:t xml:space="preserve">: </w:t>
      </w:r>
      <w:hyperlink r:id="rId17" w:history="1">
        <w:r w:rsidRPr="0081720F">
          <w:rPr>
            <w:rStyle w:val="Hyperlink"/>
            <w:lang w:val="en-GB"/>
          </w:rPr>
          <w:t>https://commonslibrary.parliament.uk/research-briefings/sn02585/</w:t>
        </w:r>
      </w:hyperlink>
      <w:r>
        <w:rPr>
          <w:lang w:val="en-GB"/>
        </w:rPr>
        <w:t xml:space="preserve"> </w:t>
      </w:r>
    </w:p>
  </w:footnote>
  <w:footnote w:id="23">
    <w:p w14:paraId="23E07CD0" w14:textId="77777777" w:rsidR="005630CE" w:rsidRPr="00BB49F4" w:rsidRDefault="005630CE" w:rsidP="00E75BDC">
      <w:pPr>
        <w:pStyle w:val="FootnoteText"/>
        <w:rPr>
          <w:lang w:val="en-GB"/>
        </w:rPr>
      </w:pPr>
      <w:r>
        <w:rPr>
          <w:rStyle w:val="FootnoteReference"/>
        </w:rPr>
        <w:footnoteRef/>
      </w:r>
      <w:r>
        <w:t xml:space="preserve"> </w:t>
      </w:r>
      <w:r>
        <w:rPr>
          <w:lang w:val="en-GB"/>
        </w:rPr>
        <w:t xml:space="preserve">FCA (2024) </w:t>
      </w:r>
      <w:r w:rsidRPr="00BB49F4">
        <w:rPr>
          <w:i/>
        </w:rPr>
        <w:t>Access to Cash Feedback to CP23/29 and final rules</w:t>
      </w:r>
      <w:r>
        <w:t xml:space="preserve">: </w:t>
      </w:r>
      <w:hyperlink r:id="rId18" w:history="1">
        <w:r w:rsidRPr="00E17385">
          <w:rPr>
            <w:rStyle w:val="Hyperlink"/>
          </w:rPr>
          <w:t>https://www.fca.org.uk/publication/policy/ps24-8.pdf</w:t>
        </w:r>
      </w:hyperlink>
      <w:r>
        <w:t xml:space="preserve"> </w:t>
      </w:r>
    </w:p>
  </w:footnote>
  <w:footnote w:id="24">
    <w:p w14:paraId="7620F3BA" w14:textId="77777777" w:rsidR="005630CE" w:rsidRPr="00FE21B3" w:rsidRDefault="005630CE" w:rsidP="00E75BDC">
      <w:pPr>
        <w:pStyle w:val="FootnoteText"/>
        <w:rPr>
          <w:lang w:val="en-GB"/>
        </w:rPr>
      </w:pPr>
      <w:r>
        <w:rPr>
          <w:rStyle w:val="FootnoteReference"/>
        </w:rPr>
        <w:footnoteRef/>
      </w:r>
      <w:r>
        <w:t xml:space="preserve"> </w:t>
      </w:r>
      <w:r w:rsidRPr="00FE21B3">
        <w:t>LINK will continue its role in conducting assessments on the behalf of banks.</w:t>
      </w:r>
    </w:p>
  </w:footnote>
  <w:footnote w:id="25">
    <w:p w14:paraId="101EC048" w14:textId="4ADFC067" w:rsidR="005630CE" w:rsidRPr="00E34B14" w:rsidRDefault="005630CE">
      <w:pPr>
        <w:pStyle w:val="FootnoteText"/>
        <w:rPr>
          <w:lang w:val="en-GB"/>
        </w:rPr>
      </w:pPr>
      <w:r>
        <w:rPr>
          <w:rStyle w:val="FootnoteReference"/>
        </w:rPr>
        <w:footnoteRef/>
      </w:r>
      <w:r>
        <w:t xml:space="preserve"> </w:t>
      </w:r>
      <w:hyperlink r:id="rId19" w:history="1">
        <w:r w:rsidRPr="00E34B14">
          <w:rPr>
            <w:rStyle w:val="Hyperlink"/>
          </w:rPr>
          <w:t>Cash Access Policy Statement - GOV.UK (www.gov.uk)</w:t>
        </w:r>
      </w:hyperlink>
    </w:p>
  </w:footnote>
  <w:footnote w:id="26">
    <w:p w14:paraId="32749A16" w14:textId="5BCD2889" w:rsidR="005630CE" w:rsidRPr="00D4719B" w:rsidRDefault="005630CE">
      <w:pPr>
        <w:pStyle w:val="FootnoteText"/>
        <w:rPr>
          <w:lang w:val="en-GB"/>
        </w:rPr>
      </w:pPr>
      <w:r>
        <w:rPr>
          <w:rStyle w:val="FootnoteReference"/>
        </w:rPr>
        <w:footnoteRef/>
      </w:r>
      <w:r>
        <w:t xml:space="preserve"> </w:t>
      </w:r>
      <w:r w:rsidRPr="005630CE">
        <w:t>https://www.fca.org.uk/news/press-releases/fca-confirms-plan-protect-access-cash-consumers-and-small-businesses</w:t>
      </w:r>
    </w:p>
  </w:footnote>
  <w:footnote w:id="27">
    <w:p w14:paraId="31D1F8AA" w14:textId="368D5CAD" w:rsidR="003A4CDC" w:rsidRPr="00D4719B" w:rsidRDefault="003A4CDC">
      <w:pPr>
        <w:pStyle w:val="FootnoteText"/>
        <w:rPr>
          <w:lang w:val="en-GB"/>
        </w:rPr>
      </w:pPr>
      <w:r>
        <w:rPr>
          <w:rStyle w:val="FootnoteReference"/>
        </w:rPr>
        <w:footnoteRef/>
      </w:r>
      <w:r>
        <w:t xml:space="preserve"> </w:t>
      </w:r>
      <w:hyperlink r:id="rId20" w:history="1">
        <w:r w:rsidRPr="00356172">
          <w:rPr>
            <w:rStyle w:val="Hyperlink"/>
          </w:rPr>
          <w:t>https://www.cashaccess.co.uk/about-us/what-we-do/</w:t>
        </w:r>
      </w:hyperlink>
      <w:r>
        <w:t xml:space="preserve"> </w:t>
      </w:r>
    </w:p>
  </w:footnote>
  <w:footnote w:id="28">
    <w:p w14:paraId="6D0CAEA1" w14:textId="2ACAB526" w:rsidR="005630CE" w:rsidRPr="00E807FD" w:rsidRDefault="005630CE">
      <w:pPr>
        <w:pStyle w:val="FootnoteText"/>
        <w:rPr>
          <w:lang w:val="en-GB"/>
        </w:rPr>
      </w:pPr>
      <w:r>
        <w:rPr>
          <w:rStyle w:val="FootnoteReference"/>
        </w:rPr>
        <w:footnoteRef/>
      </w:r>
      <w:r>
        <w:t xml:space="preserve"> </w:t>
      </w:r>
      <w:hyperlink r:id="rId21" w:history="1">
        <w:r w:rsidRPr="0081720F">
          <w:rPr>
            <w:rStyle w:val="Hyperlink"/>
          </w:rPr>
          <w:t>https://www.cashaccess.co.uk/about-us/how-to-apply/</w:t>
        </w:r>
      </w:hyperlink>
      <w:r>
        <w:t xml:space="preserve"> </w:t>
      </w:r>
    </w:p>
  </w:footnote>
  <w:footnote w:id="29">
    <w:p w14:paraId="2C257EBB" w14:textId="44BF56F6" w:rsidR="005630CE" w:rsidRPr="001F560B" w:rsidRDefault="005630CE">
      <w:pPr>
        <w:pStyle w:val="FootnoteText"/>
        <w:rPr>
          <w:lang w:val="en-GB"/>
        </w:rPr>
      </w:pPr>
      <w:r>
        <w:rPr>
          <w:rStyle w:val="FootnoteReference"/>
        </w:rPr>
        <w:footnoteRef/>
      </w:r>
      <w:r>
        <w:t xml:space="preserve"> </w:t>
      </w:r>
      <w:r>
        <w:rPr>
          <w:lang w:val="en-GB"/>
        </w:rPr>
        <w:t xml:space="preserve">Financial Times Online (12 September 2024) </w:t>
      </w:r>
      <w:r w:rsidRPr="001F560B">
        <w:rPr>
          <w:i/>
          <w:lang w:val="en-GB"/>
        </w:rPr>
        <w:t>UK banks commit to 350 high street ‘hubs’ to replace closed branches</w:t>
      </w:r>
      <w:r>
        <w:rPr>
          <w:i/>
          <w:lang w:val="en-GB"/>
        </w:rPr>
        <w:t xml:space="preserve">. </w:t>
      </w:r>
    </w:p>
  </w:footnote>
  <w:footnote w:id="30">
    <w:p w14:paraId="7F55CC1F" w14:textId="5CBDD1AE" w:rsidR="005630CE" w:rsidRPr="005946EF" w:rsidRDefault="005630CE">
      <w:pPr>
        <w:pStyle w:val="FootnoteText"/>
        <w:rPr>
          <w:lang w:val="en-GB"/>
        </w:rPr>
      </w:pPr>
      <w:r>
        <w:rPr>
          <w:rStyle w:val="FootnoteReference"/>
        </w:rPr>
        <w:footnoteRef/>
      </w:r>
      <w:r>
        <w:t xml:space="preserve"> </w:t>
      </w:r>
      <w:r>
        <w:rPr>
          <w:lang w:val="en-GB"/>
        </w:rPr>
        <w:t>LINK (2024)</w:t>
      </w:r>
      <w:r w:rsidRPr="005946EF">
        <w:t xml:space="preserve"> </w:t>
      </w:r>
      <w:r w:rsidRPr="005946EF">
        <w:rPr>
          <w:i/>
        </w:rPr>
        <w:t>LINK announces 15 new banking hubs as new Access to Cash regulations come into effect</w:t>
      </w:r>
      <w:r>
        <w:t xml:space="preserve"> : </w:t>
      </w:r>
      <w:hyperlink r:id="rId22" w:history="1">
        <w:r w:rsidRPr="0081720F">
          <w:rPr>
            <w:rStyle w:val="Hyperlink"/>
            <w:lang w:val="en-GB"/>
          </w:rPr>
          <w:t>https://www.link.co.uk/news/link-announces-15-new-banking-hubs-as-new-access-to-cash-regulations-come-into-effect</w:t>
        </w:r>
      </w:hyperlink>
      <w:r>
        <w:rPr>
          <w:lang w:val="en-GB"/>
        </w:rPr>
        <w:t xml:space="preserve"> </w:t>
      </w:r>
    </w:p>
  </w:footnote>
  <w:footnote w:id="31">
    <w:p w14:paraId="002D921F" w14:textId="5A9359BA" w:rsidR="005630CE" w:rsidRPr="00D4168A" w:rsidRDefault="005630CE">
      <w:pPr>
        <w:pStyle w:val="FootnoteText"/>
        <w:rPr>
          <w:lang w:val="en-GB"/>
        </w:rPr>
      </w:pPr>
      <w:r>
        <w:rPr>
          <w:rStyle w:val="FootnoteReference"/>
        </w:rPr>
        <w:footnoteRef/>
      </w:r>
      <w:r>
        <w:t xml:space="preserve"> </w:t>
      </w:r>
      <w:hyperlink r:id="rId23" w:history="1">
        <w:r w:rsidRPr="0081720F">
          <w:rPr>
            <w:rStyle w:val="Hyperlink"/>
          </w:rPr>
          <w:t>https://cles.org.uk/what-is-community-wealth-building/the-principles-of-community-wealth-building/making-financial-power-work-for-local-places/mutuals-and-community-banks/</w:t>
        </w:r>
      </w:hyperlink>
      <w:r>
        <w:t xml:space="preserve"> </w:t>
      </w:r>
    </w:p>
  </w:footnote>
  <w:footnote w:id="32">
    <w:p w14:paraId="0E2A1FB6" w14:textId="77777777" w:rsidR="005630CE" w:rsidRPr="004E114A" w:rsidRDefault="005630CE" w:rsidP="00AF782E">
      <w:pPr>
        <w:pStyle w:val="FootnoteText"/>
        <w:rPr>
          <w:lang w:val="en-GB"/>
        </w:rPr>
      </w:pPr>
      <w:r>
        <w:rPr>
          <w:rStyle w:val="FootnoteReference"/>
        </w:rPr>
        <w:footnoteRef/>
      </w:r>
      <w:r>
        <w:t xml:space="preserve"> </w:t>
      </w:r>
      <w:r>
        <w:rPr>
          <w:lang w:val="en-GB"/>
        </w:rPr>
        <w:t xml:space="preserve">NICVA(2024) </w:t>
      </w:r>
      <w:r w:rsidRPr="004E114A">
        <w:rPr>
          <w:i/>
          <w:lang w:val="en-GB"/>
        </w:rPr>
        <w:t>A Regional Mutual Bank for Northern Ireland</w:t>
      </w:r>
      <w:r>
        <w:rPr>
          <w:lang w:val="en-GB"/>
        </w:rPr>
        <w:t xml:space="preserve"> </w:t>
      </w:r>
      <w:hyperlink r:id="rId24" w:history="1">
        <w:r w:rsidRPr="0081720F">
          <w:rPr>
            <w:rStyle w:val="Hyperlink"/>
            <w:lang w:val="en-GB"/>
          </w:rPr>
          <w:t>https://www.nicva.org/article/a-regional-mutual-bank-for-northern-ireland-webinar</w:t>
        </w:r>
      </w:hyperlink>
      <w:r>
        <w:rPr>
          <w:lang w:val="en-GB"/>
        </w:rPr>
        <w:t xml:space="preserve"> </w:t>
      </w:r>
    </w:p>
  </w:footnote>
  <w:footnote w:id="33">
    <w:p w14:paraId="1913A455" w14:textId="77777777" w:rsidR="005630CE" w:rsidRPr="00AF782E" w:rsidRDefault="005630CE" w:rsidP="00AF782E">
      <w:pPr>
        <w:pStyle w:val="FootnoteText"/>
        <w:rPr>
          <w:lang w:val="en-GB"/>
        </w:rPr>
      </w:pPr>
      <w:r>
        <w:rPr>
          <w:rStyle w:val="FootnoteReference"/>
        </w:rPr>
        <w:footnoteRef/>
      </w:r>
      <w:r>
        <w:t xml:space="preserve"> </w:t>
      </w:r>
      <w:hyperlink r:id="rId25" w:history="1">
        <w:r w:rsidRPr="0081720F">
          <w:rPr>
            <w:rStyle w:val="Hyperlink"/>
          </w:rPr>
          <w:t>https://www.csba.co.uk/region/nothern-ireland/</w:t>
        </w:r>
      </w:hyperlink>
      <w:r>
        <w:t xml:space="preserve"> </w:t>
      </w:r>
    </w:p>
  </w:footnote>
  <w:footnote w:id="34">
    <w:p w14:paraId="256E8D52" w14:textId="77777777" w:rsidR="005630CE" w:rsidRPr="006A448E" w:rsidRDefault="005630CE" w:rsidP="00487789">
      <w:pPr>
        <w:pStyle w:val="FootnoteText"/>
        <w:rPr>
          <w:lang w:val="en-GB"/>
        </w:rPr>
      </w:pPr>
      <w:r>
        <w:rPr>
          <w:rStyle w:val="FootnoteReference"/>
        </w:rPr>
        <w:footnoteRef/>
      </w:r>
      <w:r>
        <w:t xml:space="preserve"> </w:t>
      </w:r>
      <w:r>
        <w:rPr>
          <w:lang w:val="en-GB"/>
        </w:rPr>
        <w:t xml:space="preserve">FCA (2024) </w:t>
      </w:r>
      <w:r w:rsidRPr="001837F3">
        <w:rPr>
          <w:i/>
          <w:lang w:val="en-GB"/>
        </w:rPr>
        <w:t>An empirical analysis of characteristics associated with cash reliance in the UK</w:t>
      </w:r>
      <w:r>
        <w:rPr>
          <w:lang w:val="en-GB"/>
        </w:rPr>
        <w:t xml:space="preserve">: </w:t>
      </w:r>
      <w:hyperlink r:id="rId26" w:history="1">
        <w:r w:rsidRPr="00DB4004">
          <w:rPr>
            <w:rStyle w:val="Hyperlink"/>
            <w:lang w:val="en-GB"/>
          </w:rPr>
          <w:t>https://www.fca.org.uk/publications/research-notes/empirical-analysis-characteristics-associated-cash-reliance-uk</w:t>
        </w:r>
      </w:hyperlink>
      <w:r>
        <w:rPr>
          <w:lang w:val="en-GB"/>
        </w:rPr>
        <w:t xml:space="preserve"> </w:t>
      </w:r>
    </w:p>
  </w:footnote>
  <w:footnote w:id="35">
    <w:p w14:paraId="794CCE11" w14:textId="2EF643F1" w:rsidR="005630CE" w:rsidRPr="001837F3" w:rsidRDefault="005630CE">
      <w:pPr>
        <w:pStyle w:val="FootnoteText"/>
        <w:rPr>
          <w:lang w:val="en-GB"/>
        </w:rPr>
      </w:pPr>
      <w:r>
        <w:rPr>
          <w:rStyle w:val="FootnoteReference"/>
        </w:rPr>
        <w:footnoteRef/>
      </w:r>
      <w:r>
        <w:t xml:space="preserve"> </w:t>
      </w:r>
      <w:r>
        <w:rPr>
          <w:lang w:val="en-GB"/>
        </w:rPr>
        <w:t>As cited directly above (page 13)</w:t>
      </w:r>
    </w:p>
  </w:footnote>
  <w:footnote w:id="36">
    <w:p w14:paraId="5DA53294" w14:textId="79A54C9D" w:rsidR="005630CE" w:rsidRPr="00F9273E" w:rsidRDefault="005630CE">
      <w:pPr>
        <w:pStyle w:val="FootnoteText"/>
        <w:rPr>
          <w:lang w:val="en-GB"/>
        </w:rPr>
      </w:pPr>
      <w:r>
        <w:rPr>
          <w:rStyle w:val="FootnoteReference"/>
        </w:rPr>
        <w:footnoteRef/>
      </w:r>
      <w:r>
        <w:t xml:space="preserve"> </w:t>
      </w:r>
      <w:r>
        <w:rPr>
          <w:lang w:val="en-GB"/>
        </w:rPr>
        <w:t xml:space="preserve">AgeUK (2023) </w:t>
      </w:r>
      <w:r w:rsidRPr="00397C9B">
        <w:rPr>
          <w:i/>
          <w:lang w:val="en-GB"/>
        </w:rPr>
        <w:t>You can’t bank on it anymore</w:t>
      </w:r>
      <w:r>
        <w:rPr>
          <w:lang w:val="en-GB"/>
        </w:rPr>
        <w:t>:</w:t>
      </w:r>
      <w:r w:rsidRPr="00397C9B">
        <w:t xml:space="preserve"> </w:t>
      </w:r>
      <w:hyperlink r:id="rId27" w:history="1">
        <w:r w:rsidRPr="0081720F">
          <w:rPr>
            <w:rStyle w:val="Hyperlink"/>
            <w:lang w:val="en-GB"/>
          </w:rPr>
          <w:t>https://www.ageuk.org.uk/our-impact/policy-research/publications/reports-and-briefings/</w:t>
        </w:r>
      </w:hyperlink>
      <w:r>
        <w:rPr>
          <w:lang w:val="en-GB"/>
        </w:rPr>
        <w:t xml:space="preserve"> </w:t>
      </w:r>
    </w:p>
  </w:footnote>
  <w:footnote w:id="37">
    <w:p w14:paraId="20378AA0" w14:textId="77777777" w:rsidR="005630CE" w:rsidRPr="002B0BE2" w:rsidRDefault="005630CE" w:rsidP="000F23E8">
      <w:pPr>
        <w:pStyle w:val="FootnoteText"/>
        <w:rPr>
          <w:lang w:val="en-GB"/>
        </w:rPr>
      </w:pPr>
      <w:r>
        <w:rPr>
          <w:rStyle w:val="FootnoteReference"/>
        </w:rPr>
        <w:footnoteRef/>
      </w:r>
      <w:r>
        <w:t xml:space="preserve"> </w:t>
      </w:r>
      <w:hyperlink r:id="rId28" w:history="1">
        <w:r w:rsidRPr="00DB4004">
          <w:rPr>
            <w:rStyle w:val="Hyperlink"/>
          </w:rPr>
          <w:t>https://www.investni.com/international-business/our-sectors/financial-services</w:t>
        </w:r>
      </w:hyperlink>
      <w:r>
        <w:t xml:space="preserve"> </w:t>
      </w:r>
    </w:p>
  </w:footnote>
  <w:footnote w:id="38">
    <w:p w14:paraId="0DCDEF4C" w14:textId="77777777" w:rsidR="005630CE" w:rsidRPr="002B0BE2" w:rsidRDefault="005630CE" w:rsidP="000F23E8">
      <w:pPr>
        <w:pStyle w:val="FootnoteText"/>
        <w:rPr>
          <w:lang w:val="en-GB"/>
        </w:rPr>
      </w:pPr>
      <w:r>
        <w:rPr>
          <w:rStyle w:val="FootnoteReference"/>
        </w:rPr>
        <w:footnoteRef/>
      </w:r>
      <w:r>
        <w:t xml:space="preserve"> </w:t>
      </w:r>
      <w:hyperlink r:id="rId29" w:history="1">
        <w:r w:rsidRPr="00DB4004">
          <w:rPr>
            <w:rStyle w:val="Hyperlink"/>
          </w:rPr>
          <w:t>https://www.investni.com/international-business/our-sectors/financial-services</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1D0AB2" w14:textId="551DEF68" w:rsidR="005630CE" w:rsidRPr="00AE66F0" w:rsidRDefault="005630CE" w:rsidP="00AE66F0">
    <w:pPr>
      <w:pStyle w:val="DocumentFooter"/>
      <w:pBdr>
        <w:bottom w:val="single" w:sz="6" w:space="1" w:color="auto"/>
      </w:pBdr>
      <w:spacing w:before="0" w:after="0" w:line="240" w:lineRule="auto"/>
      <w:ind w:left="0"/>
      <w:jc w:val="left"/>
      <w:rPr>
        <w:sz w:val="20"/>
        <w:szCs w:val="20"/>
      </w:rPr>
    </w:pPr>
    <w:r>
      <w:rPr>
        <w:sz w:val="20"/>
        <w:szCs w:val="20"/>
      </w:rPr>
      <w:tab/>
    </w:r>
    <w:r>
      <w:rPr>
        <w:sz w:val="20"/>
        <w:szCs w:val="20"/>
      </w:rPr>
      <w:tab/>
    </w:r>
    <w:r>
      <w:rPr>
        <w:sz w:val="20"/>
        <w:szCs w:val="20"/>
      </w:rPr>
      <w:tab/>
    </w:r>
    <w:r>
      <w:rPr>
        <w:sz w:val="20"/>
        <w:szCs w:val="2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CAFF2" w14:textId="77777777" w:rsidR="005630CE" w:rsidRDefault="005630CE" w:rsidP="008C550E">
    <w:pPr>
      <w:pStyle w:val="B1BodyText"/>
      <w:ind w:left="-1418"/>
    </w:pPr>
    <w:r>
      <w:rPr>
        <w:noProof/>
      </w:rPr>
      <w:drawing>
        <wp:inline distT="0" distB="0" distL="0" distR="0" wp14:anchorId="7A1F7D2B" wp14:editId="2511D73B">
          <wp:extent cx="7561113" cy="2446020"/>
          <wp:effectExtent l="0" t="0" r="1905" b="0"/>
          <wp:docPr id="3" name="Picture 3" descr="Northern Ireland Assembly Blue Flax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nner - No Blee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61113" cy="2446020"/>
                  </a:xfrm>
                  <a:prstGeom prst="rect">
                    <a:avLst/>
                  </a:prstGeom>
                  <a:noFill/>
                  <a:ln w="9525">
                    <a:noFill/>
                    <a:miter lim="800000"/>
                    <a:headEnd/>
                    <a:tailEnd/>
                  </a:ln>
                </pic:spPr>
              </pic:pic>
            </a:graphicData>
          </a:graphic>
        </wp:inline>
      </w:drawing>
    </w:r>
  </w:p>
  <w:p w14:paraId="2AE52279" w14:textId="03929190" w:rsidR="005630CE" w:rsidRPr="008C550E" w:rsidRDefault="005630CE" w:rsidP="008C550E">
    <w:pPr>
      <w:pStyle w:val="MainHeader"/>
      <w:pBdr>
        <w:bottom w:val="single" w:sz="6" w:space="1" w:color="auto"/>
      </w:pBdr>
      <w:spacing w:before="360" w:line="100" w:lineRule="atLeast"/>
      <w:ind w:left="0"/>
      <w:rPr>
        <w:sz w:val="16"/>
        <w:szCs w:val="16"/>
      </w:rPr>
    </w:pPr>
    <w:r w:rsidRPr="00F37BC2">
      <w:rPr>
        <w:sz w:val="44"/>
        <w:szCs w:val="44"/>
      </w:rPr>
      <w:t xml:space="preserve">Research and </w:t>
    </w:r>
    <w:r>
      <w:rPr>
        <w:sz w:val="44"/>
        <w:szCs w:val="44"/>
      </w:rPr>
      <w:t>Information</w:t>
    </w:r>
    <w:r w:rsidRPr="00F37BC2">
      <w:rPr>
        <w:sz w:val="44"/>
        <w:szCs w:val="44"/>
      </w:rPr>
      <w:t xml:space="preserve"> Service</w:t>
    </w:r>
    <w:r w:rsidRPr="00F37BC2">
      <w:rPr>
        <w:sz w:val="44"/>
        <w:szCs w:val="44"/>
      </w:rPr>
      <w:br/>
    </w:r>
    <w:r>
      <w:rPr>
        <w:sz w:val="44"/>
        <w:szCs w:val="44"/>
      </w:rPr>
      <w:t>Briefing</w:t>
    </w:r>
    <w:r w:rsidRPr="00F37BC2">
      <w:rPr>
        <w:sz w:val="44"/>
        <w:szCs w:val="44"/>
      </w:rPr>
      <w:t xml:space="preserve"> Paper</w:t>
    </w:r>
    <w:r>
      <w:rPr>
        <w:sz w:val="44"/>
        <w:szCs w:val="44"/>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6FE80C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7C44A34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064C26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660CE4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FFAC1E9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D66E07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26A404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DCEE6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9E8DC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A2E79E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D67850"/>
    <w:multiLevelType w:val="multilevel"/>
    <w:tmpl w:val="AEFA3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EF879FD"/>
    <w:multiLevelType w:val="multilevel"/>
    <w:tmpl w:val="64E29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94C4040"/>
    <w:multiLevelType w:val="hybridMultilevel"/>
    <w:tmpl w:val="9EF25A74"/>
    <w:lvl w:ilvl="0" w:tplc="78746BAC">
      <w:start w:val="1"/>
      <w:numFmt w:val="bullet"/>
      <w:pStyle w:val="BlueBoxBullets"/>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3" w15:restartNumberingAfterBreak="0">
    <w:nsid w:val="19F22161"/>
    <w:multiLevelType w:val="multilevel"/>
    <w:tmpl w:val="82207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BE013FB"/>
    <w:multiLevelType w:val="multilevel"/>
    <w:tmpl w:val="695A1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A176A2A"/>
    <w:multiLevelType w:val="multilevel"/>
    <w:tmpl w:val="16F4F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B26090A"/>
    <w:multiLevelType w:val="multilevel"/>
    <w:tmpl w:val="11183A72"/>
    <w:lvl w:ilvl="0">
      <w:start w:val="2"/>
      <w:numFmt w:val="none"/>
      <w:lvlText w:val=""/>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7" w15:restartNumberingAfterBreak="0">
    <w:nsid w:val="2E1351AF"/>
    <w:multiLevelType w:val="multilevel"/>
    <w:tmpl w:val="08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8" w15:restartNumberingAfterBreak="0">
    <w:nsid w:val="304F0F3A"/>
    <w:multiLevelType w:val="hybridMultilevel"/>
    <w:tmpl w:val="BEF0AF9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9" w15:restartNumberingAfterBreak="0">
    <w:nsid w:val="36953ED7"/>
    <w:multiLevelType w:val="multilevel"/>
    <w:tmpl w:val="DE0E7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A405C7C"/>
    <w:multiLevelType w:val="multilevel"/>
    <w:tmpl w:val="9B048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ED3742D"/>
    <w:multiLevelType w:val="hybridMultilevel"/>
    <w:tmpl w:val="2DAC80F6"/>
    <w:lvl w:ilvl="0" w:tplc="E1483ACA">
      <w:start w:val="1"/>
      <w:numFmt w:val="bullet"/>
      <w:pStyle w:val="B2BodyTextBullet2"/>
      <w:lvlText w:val="•"/>
      <w:lvlJc w:val="left"/>
      <w:pPr>
        <w:tabs>
          <w:tab w:val="num" w:pos="1134"/>
        </w:tabs>
        <w:ind w:left="1134" w:hanging="283"/>
      </w:pPr>
      <w:rPr>
        <w:rFonts w:ascii="ITC Franklin Gothic Book" w:hAnsi="ITC Franklin Gothic Book" w:hint="default"/>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1A08F7"/>
    <w:multiLevelType w:val="hybridMultilevel"/>
    <w:tmpl w:val="4DE006FA"/>
    <w:lvl w:ilvl="0" w:tplc="8F507860">
      <w:start w:val="1"/>
      <w:numFmt w:val="decimal"/>
      <w:pStyle w:val="BlueBoxNumbered"/>
      <w:lvlText w:val="%1."/>
      <w:lvlJc w:val="left"/>
      <w:pPr>
        <w:ind w:left="1854" w:hanging="360"/>
      </w:pPr>
    </w:lvl>
    <w:lvl w:ilvl="1" w:tplc="08090019" w:tentative="1">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3" w15:restartNumberingAfterBreak="0">
    <w:nsid w:val="426C7C63"/>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439C7B36"/>
    <w:multiLevelType w:val="multilevel"/>
    <w:tmpl w:val="46B4E7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45342362"/>
    <w:multiLevelType w:val="hybridMultilevel"/>
    <w:tmpl w:val="FB769214"/>
    <w:lvl w:ilvl="0" w:tplc="961C2166">
      <w:start w:val="1"/>
      <w:numFmt w:val="lowerLetter"/>
      <w:pStyle w:val="NormalAlphaList"/>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6" w15:restartNumberingAfterBreak="0">
    <w:nsid w:val="490C1ABA"/>
    <w:multiLevelType w:val="multilevel"/>
    <w:tmpl w:val="0264F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CF23417"/>
    <w:multiLevelType w:val="multilevel"/>
    <w:tmpl w:val="3F504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E48319F"/>
    <w:multiLevelType w:val="multilevel"/>
    <w:tmpl w:val="BEEA9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872C93"/>
    <w:multiLevelType w:val="hybridMultilevel"/>
    <w:tmpl w:val="3FBEE8E0"/>
    <w:lvl w:ilvl="0" w:tplc="8B5A74DC">
      <w:start w:val="1"/>
      <w:numFmt w:val="decimal"/>
      <w:pStyle w:val="NormalNumberedList"/>
      <w:lvlText w:val="%1."/>
      <w:lvlJc w:val="right"/>
      <w:pPr>
        <w:ind w:left="1284" w:hanging="207"/>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0" w15:restartNumberingAfterBreak="0">
    <w:nsid w:val="5F9772F7"/>
    <w:multiLevelType w:val="hybridMultilevel"/>
    <w:tmpl w:val="68EE03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018095D"/>
    <w:multiLevelType w:val="hybridMultilevel"/>
    <w:tmpl w:val="642C6164"/>
    <w:lvl w:ilvl="0" w:tplc="A62C73A4">
      <w:start w:val="1"/>
      <w:numFmt w:val="bullet"/>
      <w:pStyle w:val="NormalBulletList"/>
      <w:lvlText w:val=""/>
      <w:lvlJc w:val="left"/>
      <w:pPr>
        <w:ind w:left="1287" w:hanging="360"/>
      </w:pPr>
      <w:rPr>
        <w:rFonts w:ascii="Symbol" w:hAnsi="Symbol" w:hint="default"/>
        <w:sz w:val="24"/>
        <w:szCs w:val="24"/>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2" w15:restartNumberingAfterBreak="0">
    <w:nsid w:val="70C91CD3"/>
    <w:multiLevelType w:val="hybridMultilevel"/>
    <w:tmpl w:val="52ECBC54"/>
    <w:lvl w:ilvl="0" w:tplc="5E707B62">
      <w:start w:val="1"/>
      <w:numFmt w:val="lowerRoman"/>
      <w:pStyle w:val="NormalNumeralList"/>
      <w:lvlText w:val="%1."/>
      <w:lvlJc w:val="right"/>
      <w:pPr>
        <w:ind w:left="1281" w:hanging="204"/>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3" w15:restartNumberingAfterBreak="0">
    <w:nsid w:val="74344751"/>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4" w15:restartNumberingAfterBreak="0">
    <w:nsid w:val="74F24003"/>
    <w:multiLevelType w:val="hybridMultilevel"/>
    <w:tmpl w:val="FFA64A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DF50106"/>
    <w:multiLevelType w:val="hybridMultilevel"/>
    <w:tmpl w:val="A6C20AA0"/>
    <w:lvl w:ilvl="0" w:tplc="042C4FE2">
      <w:start w:val="1"/>
      <w:numFmt w:val="bullet"/>
      <w:pStyle w:val="B2BodyTextBullet1"/>
      <w:lvlText w:val=""/>
      <w:lvlJc w:val="left"/>
      <w:pPr>
        <w:tabs>
          <w:tab w:val="num" w:pos="850"/>
        </w:tabs>
        <w:ind w:left="850" w:hanging="283"/>
      </w:pPr>
      <w:rPr>
        <w:rFonts w:ascii="Wingdings" w:hAnsi="Wingdings" w:hint="default"/>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35"/>
  </w:num>
  <w:num w:numId="2">
    <w:abstractNumId w:val="2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33"/>
  </w:num>
  <w:num w:numId="14">
    <w:abstractNumId w:val="23"/>
  </w:num>
  <w:num w:numId="15">
    <w:abstractNumId w:val="17"/>
  </w:num>
  <w:num w:numId="16">
    <w:abstractNumId w:val="16"/>
  </w:num>
  <w:num w:numId="17">
    <w:abstractNumId w:val="12"/>
  </w:num>
  <w:num w:numId="18">
    <w:abstractNumId w:val="22"/>
  </w:num>
  <w:num w:numId="19">
    <w:abstractNumId w:val="31"/>
  </w:num>
  <w:num w:numId="20">
    <w:abstractNumId w:val="29"/>
  </w:num>
  <w:num w:numId="21">
    <w:abstractNumId w:val="25"/>
  </w:num>
  <w:num w:numId="22">
    <w:abstractNumId w:val="32"/>
  </w:num>
  <w:num w:numId="23">
    <w:abstractNumId w:val="14"/>
  </w:num>
  <w:num w:numId="24">
    <w:abstractNumId w:val="13"/>
  </w:num>
  <w:num w:numId="25">
    <w:abstractNumId w:val="20"/>
  </w:num>
  <w:num w:numId="26">
    <w:abstractNumId w:val="30"/>
  </w:num>
  <w:num w:numId="27">
    <w:abstractNumId w:val="28"/>
  </w:num>
  <w:num w:numId="28">
    <w:abstractNumId w:val="11"/>
  </w:num>
  <w:num w:numId="29">
    <w:abstractNumId w:val="16"/>
  </w:num>
  <w:num w:numId="30">
    <w:abstractNumId w:val="34"/>
  </w:num>
  <w:num w:numId="31">
    <w:abstractNumId w:val="16"/>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lvlOverride w:ilvl="0">
      <w:startOverride w:val="2"/>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num>
  <w:num w:numId="37">
    <w:abstractNumId w:val="27"/>
  </w:num>
  <w:num w:numId="38">
    <w:abstractNumId w:val="10"/>
  </w:num>
  <w:num w:numId="39">
    <w:abstractNumId w:val="26"/>
  </w:num>
  <w:num w:numId="4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9"/>
  </w:num>
  <w:num w:numId="42">
    <w:abstractNumId w:val="1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trackRevisions/>
  <w:defaultTabStop w:val="567"/>
  <w:drawingGridHorizontalSpacing w:val="120"/>
  <w:displayHorizontalDrawingGridEvery w:val="2"/>
  <w:displayVerticalDrawingGridEvery w:val="2"/>
  <w:noPunctuationKerning/>
  <w:characterSpacingControl w:val="doNotCompress"/>
  <w:hdrShapeDefaults>
    <o:shapedefaults v:ext="edit" spidmax="6145"/>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DB7"/>
    <w:rsid w:val="000025C3"/>
    <w:rsid w:val="000030A5"/>
    <w:rsid w:val="00007D64"/>
    <w:rsid w:val="00021500"/>
    <w:rsid w:val="00031F4A"/>
    <w:rsid w:val="0003450C"/>
    <w:rsid w:val="00035A52"/>
    <w:rsid w:val="00035C27"/>
    <w:rsid w:val="00041356"/>
    <w:rsid w:val="0004188D"/>
    <w:rsid w:val="00045568"/>
    <w:rsid w:val="0005731D"/>
    <w:rsid w:val="00062C5C"/>
    <w:rsid w:val="00075428"/>
    <w:rsid w:val="00086684"/>
    <w:rsid w:val="00090293"/>
    <w:rsid w:val="0009150E"/>
    <w:rsid w:val="000919BA"/>
    <w:rsid w:val="000B29CE"/>
    <w:rsid w:val="000B2FD1"/>
    <w:rsid w:val="000B3813"/>
    <w:rsid w:val="000B4788"/>
    <w:rsid w:val="000B4B2F"/>
    <w:rsid w:val="000B68DA"/>
    <w:rsid w:val="000C3C83"/>
    <w:rsid w:val="000C47BF"/>
    <w:rsid w:val="000C5BEC"/>
    <w:rsid w:val="000C7215"/>
    <w:rsid w:val="000C72CB"/>
    <w:rsid w:val="000D2B6B"/>
    <w:rsid w:val="000D50A9"/>
    <w:rsid w:val="000D5DCC"/>
    <w:rsid w:val="000D79C6"/>
    <w:rsid w:val="000E090A"/>
    <w:rsid w:val="000E1F31"/>
    <w:rsid w:val="000E6331"/>
    <w:rsid w:val="000F23E8"/>
    <w:rsid w:val="000F24BE"/>
    <w:rsid w:val="000F2563"/>
    <w:rsid w:val="000F4513"/>
    <w:rsid w:val="00106ED6"/>
    <w:rsid w:val="00112158"/>
    <w:rsid w:val="00115D5B"/>
    <w:rsid w:val="0013083D"/>
    <w:rsid w:val="00130F81"/>
    <w:rsid w:val="001331FA"/>
    <w:rsid w:val="00144C80"/>
    <w:rsid w:val="00147EB0"/>
    <w:rsid w:val="00152C24"/>
    <w:rsid w:val="0015720B"/>
    <w:rsid w:val="00157DE7"/>
    <w:rsid w:val="00165012"/>
    <w:rsid w:val="00172FD9"/>
    <w:rsid w:val="00173CF5"/>
    <w:rsid w:val="00175C43"/>
    <w:rsid w:val="0017645B"/>
    <w:rsid w:val="00177023"/>
    <w:rsid w:val="001837F3"/>
    <w:rsid w:val="00183A1D"/>
    <w:rsid w:val="00184A49"/>
    <w:rsid w:val="0018641B"/>
    <w:rsid w:val="00193C80"/>
    <w:rsid w:val="001951A6"/>
    <w:rsid w:val="00197D34"/>
    <w:rsid w:val="001A0948"/>
    <w:rsid w:val="001A15FC"/>
    <w:rsid w:val="001A1DC6"/>
    <w:rsid w:val="001A3450"/>
    <w:rsid w:val="001A5025"/>
    <w:rsid w:val="001A571C"/>
    <w:rsid w:val="001A596C"/>
    <w:rsid w:val="001A5C94"/>
    <w:rsid w:val="001A5CB2"/>
    <w:rsid w:val="001B1D54"/>
    <w:rsid w:val="001B237E"/>
    <w:rsid w:val="001B2963"/>
    <w:rsid w:val="001B2C62"/>
    <w:rsid w:val="001B464F"/>
    <w:rsid w:val="001B508E"/>
    <w:rsid w:val="001B7A16"/>
    <w:rsid w:val="001C401F"/>
    <w:rsid w:val="001D010F"/>
    <w:rsid w:val="001D74FE"/>
    <w:rsid w:val="001D7AAA"/>
    <w:rsid w:val="001E187F"/>
    <w:rsid w:val="001E6CE5"/>
    <w:rsid w:val="001F001E"/>
    <w:rsid w:val="001F0610"/>
    <w:rsid w:val="001F070D"/>
    <w:rsid w:val="001F560B"/>
    <w:rsid w:val="001F6615"/>
    <w:rsid w:val="001F7427"/>
    <w:rsid w:val="00200095"/>
    <w:rsid w:val="0020145E"/>
    <w:rsid w:val="002056B0"/>
    <w:rsid w:val="0020613E"/>
    <w:rsid w:val="00207D15"/>
    <w:rsid w:val="00210628"/>
    <w:rsid w:val="00210EB6"/>
    <w:rsid w:val="00212C9A"/>
    <w:rsid w:val="00214DEF"/>
    <w:rsid w:val="00215AA2"/>
    <w:rsid w:val="002177AA"/>
    <w:rsid w:val="00217C9D"/>
    <w:rsid w:val="002207DF"/>
    <w:rsid w:val="002275DA"/>
    <w:rsid w:val="002301E9"/>
    <w:rsid w:val="002324B9"/>
    <w:rsid w:val="00235797"/>
    <w:rsid w:val="00237C5F"/>
    <w:rsid w:val="00243F79"/>
    <w:rsid w:val="00246289"/>
    <w:rsid w:val="00246E99"/>
    <w:rsid w:val="00247978"/>
    <w:rsid w:val="00247C07"/>
    <w:rsid w:val="0025150C"/>
    <w:rsid w:val="002604BA"/>
    <w:rsid w:val="00260794"/>
    <w:rsid w:val="00262074"/>
    <w:rsid w:val="00266759"/>
    <w:rsid w:val="00266B3B"/>
    <w:rsid w:val="00274F89"/>
    <w:rsid w:val="00277743"/>
    <w:rsid w:val="0028057C"/>
    <w:rsid w:val="00283A53"/>
    <w:rsid w:val="00287037"/>
    <w:rsid w:val="00287EB4"/>
    <w:rsid w:val="00291BFC"/>
    <w:rsid w:val="00296A5A"/>
    <w:rsid w:val="00297322"/>
    <w:rsid w:val="002A1096"/>
    <w:rsid w:val="002A2050"/>
    <w:rsid w:val="002B0BE2"/>
    <w:rsid w:val="002B10C8"/>
    <w:rsid w:val="002C6ADB"/>
    <w:rsid w:val="002D136A"/>
    <w:rsid w:val="002D41DC"/>
    <w:rsid w:val="002D6FE8"/>
    <w:rsid w:val="002E1211"/>
    <w:rsid w:val="002E2B35"/>
    <w:rsid w:val="002E4D31"/>
    <w:rsid w:val="002E6160"/>
    <w:rsid w:val="002F11BF"/>
    <w:rsid w:val="002F1F71"/>
    <w:rsid w:val="002F28F2"/>
    <w:rsid w:val="002F3A14"/>
    <w:rsid w:val="002F4A16"/>
    <w:rsid w:val="002F5825"/>
    <w:rsid w:val="002F5EF2"/>
    <w:rsid w:val="002F65EA"/>
    <w:rsid w:val="00302159"/>
    <w:rsid w:val="00304CAE"/>
    <w:rsid w:val="00304FB4"/>
    <w:rsid w:val="00306687"/>
    <w:rsid w:val="00306709"/>
    <w:rsid w:val="00312B49"/>
    <w:rsid w:val="003133DD"/>
    <w:rsid w:val="0031349A"/>
    <w:rsid w:val="00316EB2"/>
    <w:rsid w:val="00317F8D"/>
    <w:rsid w:val="00320560"/>
    <w:rsid w:val="00324581"/>
    <w:rsid w:val="003259D8"/>
    <w:rsid w:val="003264D1"/>
    <w:rsid w:val="0033361B"/>
    <w:rsid w:val="00336B61"/>
    <w:rsid w:val="003371DA"/>
    <w:rsid w:val="003459F3"/>
    <w:rsid w:val="00351680"/>
    <w:rsid w:val="00352BC4"/>
    <w:rsid w:val="00365E06"/>
    <w:rsid w:val="003675BE"/>
    <w:rsid w:val="003734F7"/>
    <w:rsid w:val="00373A3B"/>
    <w:rsid w:val="00376D79"/>
    <w:rsid w:val="00377463"/>
    <w:rsid w:val="00377AC4"/>
    <w:rsid w:val="00380A43"/>
    <w:rsid w:val="00381183"/>
    <w:rsid w:val="00381A88"/>
    <w:rsid w:val="00385317"/>
    <w:rsid w:val="003865F5"/>
    <w:rsid w:val="00387131"/>
    <w:rsid w:val="00387AD8"/>
    <w:rsid w:val="00394C2C"/>
    <w:rsid w:val="00395B9A"/>
    <w:rsid w:val="00396D9E"/>
    <w:rsid w:val="00397C9B"/>
    <w:rsid w:val="00397ED7"/>
    <w:rsid w:val="003A029D"/>
    <w:rsid w:val="003A1107"/>
    <w:rsid w:val="003A4CDC"/>
    <w:rsid w:val="003A5EC0"/>
    <w:rsid w:val="003A63D5"/>
    <w:rsid w:val="003B2ECB"/>
    <w:rsid w:val="003B32FE"/>
    <w:rsid w:val="003B4B7F"/>
    <w:rsid w:val="003C0C85"/>
    <w:rsid w:val="003C1962"/>
    <w:rsid w:val="003C4269"/>
    <w:rsid w:val="003C5728"/>
    <w:rsid w:val="003D1CFA"/>
    <w:rsid w:val="003D7335"/>
    <w:rsid w:val="003E2197"/>
    <w:rsid w:val="003E39D5"/>
    <w:rsid w:val="003F295A"/>
    <w:rsid w:val="003F31CB"/>
    <w:rsid w:val="003F3E2F"/>
    <w:rsid w:val="003F6039"/>
    <w:rsid w:val="0040059F"/>
    <w:rsid w:val="00402132"/>
    <w:rsid w:val="004077C3"/>
    <w:rsid w:val="004128AD"/>
    <w:rsid w:val="00413EE7"/>
    <w:rsid w:val="00417BC4"/>
    <w:rsid w:val="00424472"/>
    <w:rsid w:val="00434C28"/>
    <w:rsid w:val="00434D49"/>
    <w:rsid w:val="00434F53"/>
    <w:rsid w:val="004403E7"/>
    <w:rsid w:val="00444B70"/>
    <w:rsid w:val="00452115"/>
    <w:rsid w:val="00457D49"/>
    <w:rsid w:val="00470FC6"/>
    <w:rsid w:val="0048007B"/>
    <w:rsid w:val="004850D2"/>
    <w:rsid w:val="00485D38"/>
    <w:rsid w:val="00486A96"/>
    <w:rsid w:val="00487789"/>
    <w:rsid w:val="00495C7B"/>
    <w:rsid w:val="004A1470"/>
    <w:rsid w:val="004A2AC4"/>
    <w:rsid w:val="004A458D"/>
    <w:rsid w:val="004B02C5"/>
    <w:rsid w:val="004B13DB"/>
    <w:rsid w:val="004B338F"/>
    <w:rsid w:val="004B67E7"/>
    <w:rsid w:val="004B7E66"/>
    <w:rsid w:val="004C127B"/>
    <w:rsid w:val="004C467F"/>
    <w:rsid w:val="004D387B"/>
    <w:rsid w:val="004D606C"/>
    <w:rsid w:val="004E114A"/>
    <w:rsid w:val="004E2673"/>
    <w:rsid w:val="004E26C6"/>
    <w:rsid w:val="004F1E3A"/>
    <w:rsid w:val="004F39DB"/>
    <w:rsid w:val="004F5CFE"/>
    <w:rsid w:val="004F66B7"/>
    <w:rsid w:val="00507BEC"/>
    <w:rsid w:val="00510223"/>
    <w:rsid w:val="0051042D"/>
    <w:rsid w:val="00512F3E"/>
    <w:rsid w:val="00513F48"/>
    <w:rsid w:val="00516125"/>
    <w:rsid w:val="00517B16"/>
    <w:rsid w:val="00520D71"/>
    <w:rsid w:val="00521677"/>
    <w:rsid w:val="00521CAC"/>
    <w:rsid w:val="0052240B"/>
    <w:rsid w:val="005263FC"/>
    <w:rsid w:val="00532337"/>
    <w:rsid w:val="00540777"/>
    <w:rsid w:val="005428FD"/>
    <w:rsid w:val="00542E2D"/>
    <w:rsid w:val="005512CB"/>
    <w:rsid w:val="00553A25"/>
    <w:rsid w:val="00553FE3"/>
    <w:rsid w:val="00554FB6"/>
    <w:rsid w:val="0055590E"/>
    <w:rsid w:val="0056099F"/>
    <w:rsid w:val="00562A3A"/>
    <w:rsid w:val="00562BDD"/>
    <w:rsid w:val="005630CE"/>
    <w:rsid w:val="0056332F"/>
    <w:rsid w:val="005672ED"/>
    <w:rsid w:val="00573840"/>
    <w:rsid w:val="00575FA1"/>
    <w:rsid w:val="00582C6C"/>
    <w:rsid w:val="0059126E"/>
    <w:rsid w:val="005946EF"/>
    <w:rsid w:val="0059654D"/>
    <w:rsid w:val="005A2E74"/>
    <w:rsid w:val="005A35B2"/>
    <w:rsid w:val="005A5D3A"/>
    <w:rsid w:val="005B3F72"/>
    <w:rsid w:val="005C04A3"/>
    <w:rsid w:val="005C38DD"/>
    <w:rsid w:val="005C4C6C"/>
    <w:rsid w:val="005C6898"/>
    <w:rsid w:val="005C7D1B"/>
    <w:rsid w:val="005D1819"/>
    <w:rsid w:val="005D6C2E"/>
    <w:rsid w:val="005D6E6F"/>
    <w:rsid w:val="005D725A"/>
    <w:rsid w:val="005F2872"/>
    <w:rsid w:val="005F54C4"/>
    <w:rsid w:val="00605E8A"/>
    <w:rsid w:val="0060724F"/>
    <w:rsid w:val="00607F6F"/>
    <w:rsid w:val="006114C1"/>
    <w:rsid w:val="00615DEF"/>
    <w:rsid w:val="00623996"/>
    <w:rsid w:val="00630578"/>
    <w:rsid w:val="006325DF"/>
    <w:rsid w:val="006334B2"/>
    <w:rsid w:val="00642C12"/>
    <w:rsid w:val="006437FC"/>
    <w:rsid w:val="00645AC2"/>
    <w:rsid w:val="00646C41"/>
    <w:rsid w:val="0065622F"/>
    <w:rsid w:val="0066063E"/>
    <w:rsid w:val="00675BF7"/>
    <w:rsid w:val="00677E82"/>
    <w:rsid w:val="006800DB"/>
    <w:rsid w:val="006855D2"/>
    <w:rsid w:val="0068640B"/>
    <w:rsid w:val="0068750B"/>
    <w:rsid w:val="00690F9F"/>
    <w:rsid w:val="00691109"/>
    <w:rsid w:val="0069366A"/>
    <w:rsid w:val="006A1443"/>
    <w:rsid w:val="006A448E"/>
    <w:rsid w:val="006A4948"/>
    <w:rsid w:val="006B17D9"/>
    <w:rsid w:val="006B4216"/>
    <w:rsid w:val="006B7CBD"/>
    <w:rsid w:val="006C4DAB"/>
    <w:rsid w:val="006D1DB7"/>
    <w:rsid w:val="006D2711"/>
    <w:rsid w:val="006D34A4"/>
    <w:rsid w:val="006D3F5D"/>
    <w:rsid w:val="006E4B2B"/>
    <w:rsid w:val="006E5B6F"/>
    <w:rsid w:val="006F0C32"/>
    <w:rsid w:val="006F1412"/>
    <w:rsid w:val="006F689A"/>
    <w:rsid w:val="00700DB6"/>
    <w:rsid w:val="00703D20"/>
    <w:rsid w:val="00704964"/>
    <w:rsid w:val="00711A29"/>
    <w:rsid w:val="0071400C"/>
    <w:rsid w:val="00714286"/>
    <w:rsid w:val="00714CB0"/>
    <w:rsid w:val="00715948"/>
    <w:rsid w:val="00716847"/>
    <w:rsid w:val="00721949"/>
    <w:rsid w:val="00723646"/>
    <w:rsid w:val="007260DE"/>
    <w:rsid w:val="00730F9E"/>
    <w:rsid w:val="007347B9"/>
    <w:rsid w:val="00747FE6"/>
    <w:rsid w:val="00753CF6"/>
    <w:rsid w:val="00755E72"/>
    <w:rsid w:val="0076278E"/>
    <w:rsid w:val="00767246"/>
    <w:rsid w:val="00771E42"/>
    <w:rsid w:val="007729A1"/>
    <w:rsid w:val="00774FD1"/>
    <w:rsid w:val="007770D6"/>
    <w:rsid w:val="00780694"/>
    <w:rsid w:val="0078675D"/>
    <w:rsid w:val="00791E63"/>
    <w:rsid w:val="00791FA1"/>
    <w:rsid w:val="007921E7"/>
    <w:rsid w:val="00793CF1"/>
    <w:rsid w:val="007979EC"/>
    <w:rsid w:val="007A2D8D"/>
    <w:rsid w:val="007A3EAF"/>
    <w:rsid w:val="007B0A74"/>
    <w:rsid w:val="007B18CC"/>
    <w:rsid w:val="007B225D"/>
    <w:rsid w:val="007B4769"/>
    <w:rsid w:val="007B5AB7"/>
    <w:rsid w:val="007B6735"/>
    <w:rsid w:val="007C302A"/>
    <w:rsid w:val="007C5695"/>
    <w:rsid w:val="007D2C41"/>
    <w:rsid w:val="007D3981"/>
    <w:rsid w:val="007D7AFA"/>
    <w:rsid w:val="007E04A3"/>
    <w:rsid w:val="007E1366"/>
    <w:rsid w:val="007E1ADF"/>
    <w:rsid w:val="007E79CE"/>
    <w:rsid w:val="007F0821"/>
    <w:rsid w:val="007F0E4C"/>
    <w:rsid w:val="007F56B8"/>
    <w:rsid w:val="00803758"/>
    <w:rsid w:val="00803C5F"/>
    <w:rsid w:val="008119E3"/>
    <w:rsid w:val="00814006"/>
    <w:rsid w:val="00817E88"/>
    <w:rsid w:val="00820377"/>
    <w:rsid w:val="0082746C"/>
    <w:rsid w:val="00827A10"/>
    <w:rsid w:val="00834860"/>
    <w:rsid w:val="008405A2"/>
    <w:rsid w:val="00842BD2"/>
    <w:rsid w:val="00851CE7"/>
    <w:rsid w:val="00852089"/>
    <w:rsid w:val="00854F84"/>
    <w:rsid w:val="00855A62"/>
    <w:rsid w:val="008565A5"/>
    <w:rsid w:val="00860039"/>
    <w:rsid w:val="00864EFF"/>
    <w:rsid w:val="008671F7"/>
    <w:rsid w:val="00870520"/>
    <w:rsid w:val="0087366B"/>
    <w:rsid w:val="00874063"/>
    <w:rsid w:val="00876E6A"/>
    <w:rsid w:val="00880640"/>
    <w:rsid w:val="00882967"/>
    <w:rsid w:val="00882DE9"/>
    <w:rsid w:val="00883347"/>
    <w:rsid w:val="00884B63"/>
    <w:rsid w:val="00890FF8"/>
    <w:rsid w:val="0089269F"/>
    <w:rsid w:val="0089519A"/>
    <w:rsid w:val="00895450"/>
    <w:rsid w:val="008A0C41"/>
    <w:rsid w:val="008A598B"/>
    <w:rsid w:val="008A68FF"/>
    <w:rsid w:val="008A6B8A"/>
    <w:rsid w:val="008B13C7"/>
    <w:rsid w:val="008B331E"/>
    <w:rsid w:val="008B4DE2"/>
    <w:rsid w:val="008B519F"/>
    <w:rsid w:val="008B51BA"/>
    <w:rsid w:val="008B7451"/>
    <w:rsid w:val="008C1196"/>
    <w:rsid w:val="008C17BF"/>
    <w:rsid w:val="008C550E"/>
    <w:rsid w:val="008C6E4A"/>
    <w:rsid w:val="008C773A"/>
    <w:rsid w:val="008D0534"/>
    <w:rsid w:val="008D12FF"/>
    <w:rsid w:val="008D42C5"/>
    <w:rsid w:val="008D55FA"/>
    <w:rsid w:val="008E75F1"/>
    <w:rsid w:val="008F36D7"/>
    <w:rsid w:val="00903A6B"/>
    <w:rsid w:val="00906C58"/>
    <w:rsid w:val="0091184D"/>
    <w:rsid w:val="00911D06"/>
    <w:rsid w:val="00914A2E"/>
    <w:rsid w:val="00915227"/>
    <w:rsid w:val="0091675A"/>
    <w:rsid w:val="00924332"/>
    <w:rsid w:val="009270CB"/>
    <w:rsid w:val="0093362C"/>
    <w:rsid w:val="009338AC"/>
    <w:rsid w:val="00937655"/>
    <w:rsid w:val="009423A8"/>
    <w:rsid w:val="00944C50"/>
    <w:rsid w:val="0094565D"/>
    <w:rsid w:val="00957CB4"/>
    <w:rsid w:val="00965679"/>
    <w:rsid w:val="009705CE"/>
    <w:rsid w:val="00971286"/>
    <w:rsid w:val="00976B8E"/>
    <w:rsid w:val="009815EB"/>
    <w:rsid w:val="00985309"/>
    <w:rsid w:val="0098717E"/>
    <w:rsid w:val="009879A9"/>
    <w:rsid w:val="009A0757"/>
    <w:rsid w:val="009A1322"/>
    <w:rsid w:val="009A49A4"/>
    <w:rsid w:val="009A5B31"/>
    <w:rsid w:val="009A7A01"/>
    <w:rsid w:val="009B0752"/>
    <w:rsid w:val="009B3545"/>
    <w:rsid w:val="009C1934"/>
    <w:rsid w:val="009D1AD7"/>
    <w:rsid w:val="009D20AB"/>
    <w:rsid w:val="009D22CC"/>
    <w:rsid w:val="009D5F2B"/>
    <w:rsid w:val="009D7EB5"/>
    <w:rsid w:val="009E2C01"/>
    <w:rsid w:val="009E42A6"/>
    <w:rsid w:val="009E7465"/>
    <w:rsid w:val="009F2961"/>
    <w:rsid w:val="009F5058"/>
    <w:rsid w:val="00A00B2D"/>
    <w:rsid w:val="00A0128E"/>
    <w:rsid w:val="00A0186D"/>
    <w:rsid w:val="00A035C5"/>
    <w:rsid w:val="00A04C8C"/>
    <w:rsid w:val="00A076A0"/>
    <w:rsid w:val="00A07C4E"/>
    <w:rsid w:val="00A10CD5"/>
    <w:rsid w:val="00A11043"/>
    <w:rsid w:val="00A1109B"/>
    <w:rsid w:val="00A13901"/>
    <w:rsid w:val="00A15AA9"/>
    <w:rsid w:val="00A15DBC"/>
    <w:rsid w:val="00A16FC4"/>
    <w:rsid w:val="00A222E6"/>
    <w:rsid w:val="00A240ED"/>
    <w:rsid w:val="00A24D58"/>
    <w:rsid w:val="00A26CD7"/>
    <w:rsid w:val="00A26F3D"/>
    <w:rsid w:val="00A3122C"/>
    <w:rsid w:val="00A34A90"/>
    <w:rsid w:val="00A47A47"/>
    <w:rsid w:val="00A550C7"/>
    <w:rsid w:val="00A57CC7"/>
    <w:rsid w:val="00A60F66"/>
    <w:rsid w:val="00A62669"/>
    <w:rsid w:val="00A653A8"/>
    <w:rsid w:val="00A66430"/>
    <w:rsid w:val="00A716A4"/>
    <w:rsid w:val="00A74C75"/>
    <w:rsid w:val="00A80888"/>
    <w:rsid w:val="00A82387"/>
    <w:rsid w:val="00A83751"/>
    <w:rsid w:val="00A87F5F"/>
    <w:rsid w:val="00A906DC"/>
    <w:rsid w:val="00AA0CB9"/>
    <w:rsid w:val="00AA3CDC"/>
    <w:rsid w:val="00AA4B27"/>
    <w:rsid w:val="00AA4E42"/>
    <w:rsid w:val="00AA4FAC"/>
    <w:rsid w:val="00AB02B2"/>
    <w:rsid w:val="00AB1028"/>
    <w:rsid w:val="00AB510D"/>
    <w:rsid w:val="00AC000B"/>
    <w:rsid w:val="00AC0E3F"/>
    <w:rsid w:val="00AC15D8"/>
    <w:rsid w:val="00AC1D6E"/>
    <w:rsid w:val="00AD26A8"/>
    <w:rsid w:val="00AD39C2"/>
    <w:rsid w:val="00AD3F76"/>
    <w:rsid w:val="00AD5B2B"/>
    <w:rsid w:val="00AE0BA2"/>
    <w:rsid w:val="00AE1016"/>
    <w:rsid w:val="00AE1E95"/>
    <w:rsid w:val="00AE2FF7"/>
    <w:rsid w:val="00AE328D"/>
    <w:rsid w:val="00AE36FA"/>
    <w:rsid w:val="00AE38B1"/>
    <w:rsid w:val="00AE3C56"/>
    <w:rsid w:val="00AE60E4"/>
    <w:rsid w:val="00AE66F0"/>
    <w:rsid w:val="00AE7915"/>
    <w:rsid w:val="00AF0B34"/>
    <w:rsid w:val="00AF37BA"/>
    <w:rsid w:val="00AF5542"/>
    <w:rsid w:val="00AF76B0"/>
    <w:rsid w:val="00AF782E"/>
    <w:rsid w:val="00B10087"/>
    <w:rsid w:val="00B122B3"/>
    <w:rsid w:val="00B12E51"/>
    <w:rsid w:val="00B15446"/>
    <w:rsid w:val="00B15E45"/>
    <w:rsid w:val="00B17C05"/>
    <w:rsid w:val="00B20D00"/>
    <w:rsid w:val="00B3192A"/>
    <w:rsid w:val="00B31C2F"/>
    <w:rsid w:val="00B32276"/>
    <w:rsid w:val="00B373D9"/>
    <w:rsid w:val="00B37D53"/>
    <w:rsid w:val="00B4316F"/>
    <w:rsid w:val="00B43DEA"/>
    <w:rsid w:val="00B44BA7"/>
    <w:rsid w:val="00B55C51"/>
    <w:rsid w:val="00B563B0"/>
    <w:rsid w:val="00B6137E"/>
    <w:rsid w:val="00B621B6"/>
    <w:rsid w:val="00B64411"/>
    <w:rsid w:val="00B72212"/>
    <w:rsid w:val="00B73E0C"/>
    <w:rsid w:val="00B75A47"/>
    <w:rsid w:val="00B75E75"/>
    <w:rsid w:val="00B767AD"/>
    <w:rsid w:val="00B84558"/>
    <w:rsid w:val="00B84856"/>
    <w:rsid w:val="00B91EF2"/>
    <w:rsid w:val="00B97A84"/>
    <w:rsid w:val="00BA2EA2"/>
    <w:rsid w:val="00BA5DF6"/>
    <w:rsid w:val="00BB089A"/>
    <w:rsid w:val="00BB12B8"/>
    <w:rsid w:val="00BB49F4"/>
    <w:rsid w:val="00BB7AB3"/>
    <w:rsid w:val="00BD6258"/>
    <w:rsid w:val="00BE21E1"/>
    <w:rsid w:val="00BE752B"/>
    <w:rsid w:val="00BF44A0"/>
    <w:rsid w:val="00BF467C"/>
    <w:rsid w:val="00BF4F2D"/>
    <w:rsid w:val="00C02B62"/>
    <w:rsid w:val="00C03D26"/>
    <w:rsid w:val="00C053F9"/>
    <w:rsid w:val="00C05878"/>
    <w:rsid w:val="00C060DD"/>
    <w:rsid w:val="00C07248"/>
    <w:rsid w:val="00C07841"/>
    <w:rsid w:val="00C07A61"/>
    <w:rsid w:val="00C10938"/>
    <w:rsid w:val="00C115E7"/>
    <w:rsid w:val="00C11D0F"/>
    <w:rsid w:val="00C123FA"/>
    <w:rsid w:val="00C124F0"/>
    <w:rsid w:val="00C13D5E"/>
    <w:rsid w:val="00C47EB9"/>
    <w:rsid w:val="00C50D41"/>
    <w:rsid w:val="00C51EAF"/>
    <w:rsid w:val="00C51FC4"/>
    <w:rsid w:val="00C52775"/>
    <w:rsid w:val="00C53BAE"/>
    <w:rsid w:val="00C5463B"/>
    <w:rsid w:val="00C57F4A"/>
    <w:rsid w:val="00C60C59"/>
    <w:rsid w:val="00C6321C"/>
    <w:rsid w:val="00C67C08"/>
    <w:rsid w:val="00C71010"/>
    <w:rsid w:val="00C71669"/>
    <w:rsid w:val="00C726B8"/>
    <w:rsid w:val="00C72A75"/>
    <w:rsid w:val="00C73A97"/>
    <w:rsid w:val="00C777F6"/>
    <w:rsid w:val="00C77903"/>
    <w:rsid w:val="00C83EE4"/>
    <w:rsid w:val="00C86738"/>
    <w:rsid w:val="00C86EB4"/>
    <w:rsid w:val="00C90EE3"/>
    <w:rsid w:val="00CA02A7"/>
    <w:rsid w:val="00CB3480"/>
    <w:rsid w:val="00CB696D"/>
    <w:rsid w:val="00CC36D7"/>
    <w:rsid w:val="00CC4562"/>
    <w:rsid w:val="00CC69FC"/>
    <w:rsid w:val="00CD00EA"/>
    <w:rsid w:val="00CD11B4"/>
    <w:rsid w:val="00CD2B2C"/>
    <w:rsid w:val="00CD6D9C"/>
    <w:rsid w:val="00CE112C"/>
    <w:rsid w:val="00CE1A36"/>
    <w:rsid w:val="00CE1E8B"/>
    <w:rsid w:val="00CE55CB"/>
    <w:rsid w:val="00CE6C67"/>
    <w:rsid w:val="00CF4EE2"/>
    <w:rsid w:val="00CF601F"/>
    <w:rsid w:val="00CF631D"/>
    <w:rsid w:val="00CF655B"/>
    <w:rsid w:val="00CF7692"/>
    <w:rsid w:val="00D039F1"/>
    <w:rsid w:val="00D0612D"/>
    <w:rsid w:val="00D118F4"/>
    <w:rsid w:val="00D14E84"/>
    <w:rsid w:val="00D15327"/>
    <w:rsid w:val="00D17669"/>
    <w:rsid w:val="00D23361"/>
    <w:rsid w:val="00D314CE"/>
    <w:rsid w:val="00D340E4"/>
    <w:rsid w:val="00D35329"/>
    <w:rsid w:val="00D367A0"/>
    <w:rsid w:val="00D37B63"/>
    <w:rsid w:val="00D37CC4"/>
    <w:rsid w:val="00D4168A"/>
    <w:rsid w:val="00D43CE1"/>
    <w:rsid w:val="00D4719B"/>
    <w:rsid w:val="00D5280E"/>
    <w:rsid w:val="00D64D1D"/>
    <w:rsid w:val="00D652C1"/>
    <w:rsid w:val="00D72741"/>
    <w:rsid w:val="00D8125A"/>
    <w:rsid w:val="00D81887"/>
    <w:rsid w:val="00D83E2F"/>
    <w:rsid w:val="00D85A36"/>
    <w:rsid w:val="00D86FA4"/>
    <w:rsid w:val="00D96342"/>
    <w:rsid w:val="00D9652B"/>
    <w:rsid w:val="00DA79B9"/>
    <w:rsid w:val="00DB7333"/>
    <w:rsid w:val="00DC4BA0"/>
    <w:rsid w:val="00DC73BF"/>
    <w:rsid w:val="00DD052F"/>
    <w:rsid w:val="00DD07BB"/>
    <w:rsid w:val="00DD638F"/>
    <w:rsid w:val="00DF1C08"/>
    <w:rsid w:val="00DF3645"/>
    <w:rsid w:val="00DF4A14"/>
    <w:rsid w:val="00E02216"/>
    <w:rsid w:val="00E1307F"/>
    <w:rsid w:val="00E13C4E"/>
    <w:rsid w:val="00E16DFF"/>
    <w:rsid w:val="00E2153F"/>
    <w:rsid w:val="00E22A9F"/>
    <w:rsid w:val="00E230F6"/>
    <w:rsid w:val="00E30666"/>
    <w:rsid w:val="00E30A8D"/>
    <w:rsid w:val="00E31390"/>
    <w:rsid w:val="00E34B14"/>
    <w:rsid w:val="00E3789C"/>
    <w:rsid w:val="00E46007"/>
    <w:rsid w:val="00E65A88"/>
    <w:rsid w:val="00E7091D"/>
    <w:rsid w:val="00E70BD2"/>
    <w:rsid w:val="00E70C7C"/>
    <w:rsid w:val="00E72A0D"/>
    <w:rsid w:val="00E74A5B"/>
    <w:rsid w:val="00E75177"/>
    <w:rsid w:val="00E75BDC"/>
    <w:rsid w:val="00E769E0"/>
    <w:rsid w:val="00E76B70"/>
    <w:rsid w:val="00E807FD"/>
    <w:rsid w:val="00E85126"/>
    <w:rsid w:val="00E907C4"/>
    <w:rsid w:val="00E90AE8"/>
    <w:rsid w:val="00E93002"/>
    <w:rsid w:val="00EA49F0"/>
    <w:rsid w:val="00EB0804"/>
    <w:rsid w:val="00EB0B19"/>
    <w:rsid w:val="00EB70EB"/>
    <w:rsid w:val="00EB74A8"/>
    <w:rsid w:val="00EB75C1"/>
    <w:rsid w:val="00EC382E"/>
    <w:rsid w:val="00EC59EA"/>
    <w:rsid w:val="00EC7BC9"/>
    <w:rsid w:val="00EC7C09"/>
    <w:rsid w:val="00ED1581"/>
    <w:rsid w:val="00ED4A90"/>
    <w:rsid w:val="00ED7202"/>
    <w:rsid w:val="00EE2035"/>
    <w:rsid w:val="00EE5D97"/>
    <w:rsid w:val="00EF02B0"/>
    <w:rsid w:val="00EF2FC0"/>
    <w:rsid w:val="00EF41B5"/>
    <w:rsid w:val="00EF58A9"/>
    <w:rsid w:val="00EF70C8"/>
    <w:rsid w:val="00EF75BB"/>
    <w:rsid w:val="00F01F83"/>
    <w:rsid w:val="00F02F6B"/>
    <w:rsid w:val="00F14A38"/>
    <w:rsid w:val="00F14BB1"/>
    <w:rsid w:val="00F1540D"/>
    <w:rsid w:val="00F16D17"/>
    <w:rsid w:val="00F25585"/>
    <w:rsid w:val="00F31F20"/>
    <w:rsid w:val="00F32402"/>
    <w:rsid w:val="00F37BC2"/>
    <w:rsid w:val="00F40A72"/>
    <w:rsid w:val="00F42296"/>
    <w:rsid w:val="00F42375"/>
    <w:rsid w:val="00F4784F"/>
    <w:rsid w:val="00F52173"/>
    <w:rsid w:val="00F54D2A"/>
    <w:rsid w:val="00F602F6"/>
    <w:rsid w:val="00F65B25"/>
    <w:rsid w:val="00F66208"/>
    <w:rsid w:val="00F67E33"/>
    <w:rsid w:val="00F7267C"/>
    <w:rsid w:val="00F730EA"/>
    <w:rsid w:val="00F75D68"/>
    <w:rsid w:val="00F76BA1"/>
    <w:rsid w:val="00F8007D"/>
    <w:rsid w:val="00F802E1"/>
    <w:rsid w:val="00F879CA"/>
    <w:rsid w:val="00F9003F"/>
    <w:rsid w:val="00F92686"/>
    <w:rsid w:val="00F9273E"/>
    <w:rsid w:val="00F928F1"/>
    <w:rsid w:val="00F9571B"/>
    <w:rsid w:val="00FA3D1D"/>
    <w:rsid w:val="00FA5F13"/>
    <w:rsid w:val="00FA75D8"/>
    <w:rsid w:val="00FB04DB"/>
    <w:rsid w:val="00FB053C"/>
    <w:rsid w:val="00FB1127"/>
    <w:rsid w:val="00FB11AD"/>
    <w:rsid w:val="00FB4024"/>
    <w:rsid w:val="00FB5D6B"/>
    <w:rsid w:val="00FB7631"/>
    <w:rsid w:val="00FB78D5"/>
    <w:rsid w:val="00FC65E5"/>
    <w:rsid w:val="00FC692B"/>
    <w:rsid w:val="00FD1A69"/>
    <w:rsid w:val="00FD661C"/>
    <w:rsid w:val="00FE21B3"/>
    <w:rsid w:val="00FE797E"/>
    <w:rsid w:val="00FF0979"/>
    <w:rsid w:val="00FF0DB4"/>
    <w:rsid w:val="00FF1B72"/>
    <w:rsid w:val="00FF1BC4"/>
    <w:rsid w:val="00FF47B2"/>
    <w:rsid w:val="00FF5B9E"/>
    <w:rsid w:val="00FF65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B150347"/>
  <w15:docId w15:val="{7E88272D-6525-4D7E-B5EE-691C69C02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5622F"/>
    <w:pPr>
      <w:tabs>
        <w:tab w:val="left" w:pos="567"/>
      </w:tabs>
      <w:spacing w:before="120" w:after="180" w:line="360" w:lineRule="auto"/>
      <w:ind w:left="567"/>
    </w:pPr>
    <w:rPr>
      <w:rFonts w:ascii="Arial" w:hAnsi="Arial"/>
      <w:sz w:val="24"/>
      <w:szCs w:val="24"/>
      <w:lang w:val="en-US" w:eastAsia="en-US"/>
    </w:rPr>
  </w:style>
  <w:style w:type="paragraph" w:styleId="Heading1">
    <w:name w:val="heading 1"/>
    <w:basedOn w:val="DocumentTitle"/>
    <w:next w:val="Normal"/>
    <w:qFormat/>
    <w:rsid w:val="00B15E45"/>
    <w:pPr>
      <w:spacing w:after="240"/>
      <w:ind w:left="0"/>
      <w:outlineLvl w:val="0"/>
    </w:pPr>
  </w:style>
  <w:style w:type="paragraph" w:styleId="Heading2">
    <w:name w:val="heading 2"/>
    <w:basedOn w:val="H1SectionHead"/>
    <w:next w:val="Normal"/>
    <w:link w:val="Heading2Char"/>
    <w:qFormat/>
    <w:rsid w:val="00B15E45"/>
    <w:pPr>
      <w:numPr>
        <w:ilvl w:val="1"/>
        <w:numId w:val="29"/>
      </w:numPr>
      <w:spacing w:after="240"/>
      <w:outlineLvl w:val="1"/>
    </w:pPr>
    <w:rPr>
      <w:sz w:val="36"/>
    </w:rPr>
  </w:style>
  <w:style w:type="paragraph" w:styleId="Heading3">
    <w:name w:val="heading 3"/>
    <w:basedOn w:val="Normal"/>
    <w:next w:val="Normal"/>
    <w:link w:val="Heading3Char"/>
    <w:qFormat/>
    <w:rsid w:val="00B15E45"/>
    <w:pPr>
      <w:numPr>
        <w:ilvl w:val="2"/>
        <w:numId w:val="29"/>
      </w:numPr>
      <w:spacing w:before="360" w:after="240" w:line="400" w:lineRule="exact"/>
      <w:outlineLvl w:val="2"/>
    </w:pPr>
    <w:rPr>
      <w:sz w:val="28"/>
      <w:szCs w:val="32"/>
      <w:lang w:val="en-GB" w:eastAsia="en-GB"/>
    </w:rPr>
  </w:style>
  <w:style w:type="paragraph" w:styleId="Heading4">
    <w:name w:val="heading 4"/>
    <w:basedOn w:val="Normal"/>
    <w:next w:val="Normal"/>
    <w:link w:val="Heading4Char"/>
    <w:qFormat/>
    <w:rsid w:val="00385317"/>
    <w:pPr>
      <w:numPr>
        <w:ilvl w:val="3"/>
        <w:numId w:val="29"/>
      </w:numPr>
      <w:spacing w:before="240"/>
      <w:outlineLvl w:val="3"/>
    </w:pPr>
    <w:rPr>
      <w:b/>
      <w:lang w:val="en-GB" w:eastAsia="en-GB"/>
    </w:rPr>
  </w:style>
  <w:style w:type="paragraph" w:styleId="Heading5">
    <w:name w:val="heading 5"/>
    <w:basedOn w:val="Normal"/>
    <w:next w:val="Normal"/>
    <w:link w:val="Heading5Char"/>
    <w:rsid w:val="003C4269"/>
    <w:pPr>
      <w:numPr>
        <w:ilvl w:val="4"/>
        <w:numId w:val="29"/>
      </w:numPr>
      <w:spacing w:before="360"/>
      <w:outlineLvl w:val="4"/>
    </w:pPr>
    <w:rPr>
      <w:b/>
      <w:lang w:val="en-GB" w:eastAsia="en-GB"/>
    </w:rPr>
  </w:style>
  <w:style w:type="paragraph" w:styleId="Heading6">
    <w:name w:val="heading 6"/>
    <w:basedOn w:val="Heading5"/>
    <w:next w:val="Normal"/>
    <w:link w:val="Heading6Char"/>
    <w:unhideWhenUsed/>
    <w:rsid w:val="003C4269"/>
    <w:pPr>
      <w:numPr>
        <w:ilvl w:val="5"/>
      </w:numPr>
      <w:outlineLvl w:val="5"/>
    </w:pPr>
  </w:style>
  <w:style w:type="paragraph" w:styleId="Heading7">
    <w:name w:val="heading 7"/>
    <w:basedOn w:val="Heading6"/>
    <w:next w:val="Normal"/>
    <w:link w:val="Heading7Char"/>
    <w:semiHidden/>
    <w:rsid w:val="003C4269"/>
    <w:pPr>
      <w:numPr>
        <w:ilvl w:val="6"/>
      </w:numPr>
      <w:outlineLvl w:val="6"/>
    </w:pPr>
  </w:style>
  <w:style w:type="paragraph" w:styleId="Heading8">
    <w:name w:val="heading 8"/>
    <w:basedOn w:val="Heading7"/>
    <w:next w:val="Normal"/>
    <w:link w:val="Heading8Char"/>
    <w:semiHidden/>
    <w:rsid w:val="003C4269"/>
    <w:pPr>
      <w:numPr>
        <w:ilvl w:val="7"/>
      </w:numPr>
      <w:outlineLvl w:val="7"/>
    </w:pPr>
  </w:style>
  <w:style w:type="paragraph" w:styleId="Heading9">
    <w:name w:val="heading 9"/>
    <w:basedOn w:val="Heading8"/>
    <w:next w:val="Normal"/>
    <w:link w:val="Heading9Char"/>
    <w:semiHidden/>
    <w:rsid w:val="003C4269"/>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basedOn w:val="Normal"/>
    <w:semiHidden/>
    <w:rsid w:val="002207DF"/>
    <w:pPr>
      <w:pageBreakBefore/>
      <w:spacing w:after="360"/>
    </w:pPr>
    <w:rPr>
      <w:b/>
      <w:sz w:val="36"/>
      <w:szCs w:val="20"/>
    </w:rPr>
  </w:style>
  <w:style w:type="paragraph" w:styleId="Header">
    <w:name w:val="header"/>
    <w:basedOn w:val="Normal"/>
    <w:semiHidden/>
    <w:rsid w:val="00AA4FAC"/>
    <w:pPr>
      <w:tabs>
        <w:tab w:val="center" w:pos="4153"/>
        <w:tab w:val="right" w:pos="8306"/>
      </w:tabs>
    </w:pPr>
  </w:style>
  <w:style w:type="paragraph" w:styleId="Footer">
    <w:name w:val="footer"/>
    <w:basedOn w:val="Normal"/>
    <w:link w:val="FooterChar"/>
    <w:uiPriority w:val="99"/>
    <w:semiHidden/>
    <w:rsid w:val="0078675D"/>
    <w:pPr>
      <w:tabs>
        <w:tab w:val="left" w:pos="425"/>
      </w:tabs>
      <w:spacing w:after="40" w:line="220" w:lineRule="exact"/>
      <w:ind w:left="425" w:hanging="425"/>
    </w:pPr>
    <w:rPr>
      <w:rFonts w:ascii="Franklin Gothic Book" w:hAnsi="Franklin Gothic Book"/>
      <w:sz w:val="16"/>
    </w:rPr>
  </w:style>
  <w:style w:type="paragraph" w:customStyle="1" w:styleId="MainHeader">
    <w:name w:val="Main Header"/>
    <w:basedOn w:val="Normal"/>
    <w:semiHidden/>
    <w:rsid w:val="00EB75C1"/>
    <w:pPr>
      <w:widowControl w:val="0"/>
      <w:suppressAutoHyphens/>
      <w:autoSpaceDE w:val="0"/>
      <w:autoSpaceDN w:val="0"/>
      <w:adjustRightInd w:val="0"/>
      <w:spacing w:line="500" w:lineRule="atLeast"/>
      <w:jc w:val="center"/>
      <w:textAlignment w:val="center"/>
    </w:pPr>
    <w:rPr>
      <w:rFonts w:cs="ITC Stone Sans Std Medium"/>
      <w:color w:val="000000"/>
      <w:sz w:val="40"/>
      <w:szCs w:val="40"/>
      <w:lang w:eastAsia="en-GB"/>
    </w:rPr>
  </w:style>
  <w:style w:type="numbering" w:styleId="111111">
    <w:name w:val="Outline List 2"/>
    <w:basedOn w:val="NoList"/>
    <w:semiHidden/>
    <w:rsid w:val="00A10CD5"/>
    <w:pPr>
      <w:numPr>
        <w:numId w:val="13"/>
      </w:numPr>
    </w:pPr>
  </w:style>
  <w:style w:type="paragraph" w:customStyle="1" w:styleId="DocumentDate">
    <w:name w:val="Document Date"/>
    <w:basedOn w:val="MainHeader"/>
    <w:next w:val="DocumentAuthors"/>
    <w:semiHidden/>
    <w:rsid w:val="00EB75C1"/>
    <w:pPr>
      <w:widowControl/>
      <w:suppressAutoHyphens w:val="0"/>
      <w:autoSpaceDE/>
      <w:autoSpaceDN/>
      <w:adjustRightInd/>
      <w:spacing w:after="720"/>
      <w:textAlignment w:val="auto"/>
    </w:pPr>
    <w:rPr>
      <w:sz w:val="24"/>
      <w:szCs w:val="24"/>
    </w:rPr>
  </w:style>
  <w:style w:type="paragraph" w:customStyle="1" w:styleId="DocumentAuthors">
    <w:name w:val="Document Authors"/>
    <w:basedOn w:val="MainHeader"/>
    <w:next w:val="DocumentTitle"/>
    <w:semiHidden/>
    <w:rsid w:val="00EB75C1"/>
    <w:pPr>
      <w:widowControl/>
      <w:suppressAutoHyphens w:val="0"/>
      <w:autoSpaceDE/>
      <w:autoSpaceDN/>
      <w:adjustRightInd/>
      <w:spacing w:after="240"/>
      <w:textAlignment w:val="auto"/>
    </w:pPr>
    <w:rPr>
      <w:b/>
      <w:sz w:val="24"/>
      <w:szCs w:val="28"/>
    </w:rPr>
  </w:style>
  <w:style w:type="paragraph" w:customStyle="1" w:styleId="DocumentTitle">
    <w:name w:val="Document Title"/>
    <w:basedOn w:val="MainHeader"/>
    <w:next w:val="DocumentOutline"/>
    <w:semiHidden/>
    <w:rsid w:val="00791FA1"/>
    <w:pPr>
      <w:widowControl/>
      <w:suppressAutoHyphens w:val="0"/>
      <w:autoSpaceDE/>
      <w:autoSpaceDN/>
      <w:adjustRightInd/>
      <w:spacing w:after="480"/>
      <w:textAlignment w:val="auto"/>
    </w:pPr>
    <w:rPr>
      <w:sz w:val="64"/>
      <w:szCs w:val="64"/>
    </w:rPr>
  </w:style>
  <w:style w:type="paragraph" w:customStyle="1" w:styleId="DocumentOutline">
    <w:name w:val="Document Outline"/>
    <w:basedOn w:val="DocumentDate"/>
    <w:semiHidden/>
    <w:rsid w:val="00DB7333"/>
    <w:pPr>
      <w:spacing w:before="720" w:after="100" w:afterAutospacing="1" w:line="300" w:lineRule="atLeast"/>
    </w:pPr>
  </w:style>
  <w:style w:type="character" w:styleId="PageNumber">
    <w:name w:val="page number"/>
    <w:basedOn w:val="DefaultParagraphFont"/>
    <w:semiHidden/>
    <w:rsid w:val="0052240B"/>
    <w:rPr>
      <w:rFonts w:ascii="Franklin Gothic Book" w:hAnsi="Franklin Gothic Book"/>
      <w:sz w:val="18"/>
    </w:rPr>
  </w:style>
  <w:style w:type="paragraph" w:customStyle="1" w:styleId="DocumentFooter">
    <w:name w:val="Document Footer"/>
    <w:basedOn w:val="Header"/>
    <w:semiHidden/>
    <w:rsid w:val="00EB75C1"/>
    <w:pPr>
      <w:tabs>
        <w:tab w:val="clear" w:pos="4153"/>
        <w:tab w:val="clear" w:pos="8306"/>
        <w:tab w:val="center" w:pos="4536"/>
        <w:tab w:val="right" w:pos="9072"/>
      </w:tabs>
      <w:jc w:val="right"/>
    </w:pPr>
    <w:rPr>
      <w:sz w:val="18"/>
    </w:rPr>
  </w:style>
  <w:style w:type="paragraph" w:customStyle="1" w:styleId="B1BodyText">
    <w:name w:val="B1 Body Text"/>
    <w:link w:val="B1BodyTextCharChar"/>
    <w:semiHidden/>
    <w:rsid w:val="00EB75C1"/>
    <w:pPr>
      <w:spacing w:before="120" w:after="180" w:line="320" w:lineRule="atLeast"/>
      <w:ind w:left="567"/>
    </w:pPr>
    <w:rPr>
      <w:rFonts w:ascii="Arial" w:hAnsi="Arial" w:cs="ITC Stone Sans Std Medium"/>
      <w:color w:val="000000"/>
      <w:sz w:val="22"/>
      <w:szCs w:val="24"/>
    </w:rPr>
  </w:style>
  <w:style w:type="paragraph" w:customStyle="1" w:styleId="Sub-Header01Bullets10mm">
    <w:name w:val="Sub-Header 01 Bullets 10mm"/>
    <w:basedOn w:val="Normal"/>
    <w:semiHidden/>
    <w:rsid w:val="005C6898"/>
    <w:pPr>
      <w:keepNext/>
      <w:widowControl w:val="0"/>
      <w:suppressAutoHyphens/>
      <w:autoSpaceDE w:val="0"/>
      <w:autoSpaceDN w:val="0"/>
      <w:adjustRightInd w:val="0"/>
      <w:spacing w:line="400" w:lineRule="atLeast"/>
      <w:ind w:hanging="567"/>
      <w:textAlignment w:val="center"/>
    </w:pPr>
    <w:rPr>
      <w:rFonts w:ascii="ITC Stone Sans Std Medium" w:hAnsi="ITC Stone Sans Std Medium" w:cs="ITC Stone Sans Std Medium"/>
      <w:color w:val="000000"/>
      <w:sz w:val="32"/>
      <w:szCs w:val="32"/>
      <w:lang w:eastAsia="en-GB"/>
    </w:rPr>
  </w:style>
  <w:style w:type="paragraph" w:customStyle="1" w:styleId="H1SectionHead">
    <w:name w:val="H1 Section Head"/>
    <w:next w:val="B1BodyText"/>
    <w:link w:val="H1SectionHeadChar"/>
    <w:semiHidden/>
    <w:rsid w:val="00EB75C1"/>
    <w:pPr>
      <w:keepNext/>
      <w:tabs>
        <w:tab w:val="left" w:pos="567"/>
      </w:tabs>
      <w:spacing w:before="480" w:line="400" w:lineRule="exact"/>
    </w:pPr>
    <w:rPr>
      <w:rFonts w:ascii="Arial" w:hAnsi="Arial" w:cs="ITC Stone Sans Std Medium"/>
      <w:color w:val="000000"/>
      <w:sz w:val="32"/>
      <w:szCs w:val="32"/>
    </w:rPr>
  </w:style>
  <w:style w:type="paragraph" w:customStyle="1" w:styleId="H2Heading">
    <w:name w:val="H2 Heading"/>
    <w:basedOn w:val="H1SectionHead"/>
    <w:next w:val="B1BodyText"/>
    <w:semiHidden/>
    <w:rsid w:val="005F2872"/>
    <w:pPr>
      <w:spacing w:line="320" w:lineRule="exact"/>
    </w:pPr>
    <w:rPr>
      <w:sz w:val="28"/>
    </w:rPr>
  </w:style>
  <w:style w:type="paragraph" w:customStyle="1" w:styleId="H3SubHeading">
    <w:name w:val="H3 Sub Heading"/>
    <w:basedOn w:val="B1BodyText"/>
    <w:semiHidden/>
    <w:rsid w:val="00EB75C1"/>
    <w:pPr>
      <w:tabs>
        <w:tab w:val="left" w:pos="567"/>
      </w:tabs>
      <w:spacing w:before="360"/>
      <w:ind w:hanging="567"/>
    </w:pPr>
    <w:rPr>
      <w:b/>
    </w:rPr>
  </w:style>
  <w:style w:type="paragraph" w:customStyle="1" w:styleId="B2BodyTextBullet1">
    <w:name w:val="B2 Body Text Bullet 1"/>
    <w:basedOn w:val="B1BodyText"/>
    <w:link w:val="B2BodyTextBullet1Char"/>
    <w:semiHidden/>
    <w:rsid w:val="000C47BF"/>
    <w:pPr>
      <w:numPr>
        <w:numId w:val="1"/>
      </w:numPr>
      <w:spacing w:before="0" w:after="60"/>
    </w:pPr>
  </w:style>
  <w:style w:type="paragraph" w:customStyle="1" w:styleId="B2BodyTextBullet2">
    <w:name w:val="B2 Body Text Bullet 2"/>
    <w:basedOn w:val="B1BodyText"/>
    <w:link w:val="B2BodyTextBullet2CharChar"/>
    <w:semiHidden/>
    <w:rsid w:val="00C51FC4"/>
    <w:pPr>
      <w:numPr>
        <w:numId w:val="2"/>
      </w:numPr>
      <w:spacing w:before="0" w:after="60"/>
    </w:pPr>
    <w:rPr>
      <w:sz w:val="24"/>
    </w:rPr>
  </w:style>
  <w:style w:type="paragraph" w:customStyle="1" w:styleId="DocumentContents">
    <w:name w:val="Document Contents"/>
    <w:basedOn w:val="B1BodyText"/>
    <w:semiHidden/>
    <w:rsid w:val="00E70BD2"/>
    <w:pPr>
      <w:tabs>
        <w:tab w:val="left" w:pos="992"/>
        <w:tab w:val="right" w:leader="dot" w:pos="9072"/>
      </w:tabs>
      <w:spacing w:after="120"/>
      <w:ind w:left="992" w:hanging="992"/>
    </w:pPr>
  </w:style>
  <w:style w:type="paragraph" w:styleId="FootnoteText">
    <w:name w:val="footnote text"/>
    <w:basedOn w:val="Normal"/>
    <w:link w:val="FootnoteTextChar"/>
    <w:semiHidden/>
    <w:qFormat/>
    <w:rsid w:val="00700DB6"/>
    <w:pPr>
      <w:tabs>
        <w:tab w:val="left" w:pos="425"/>
      </w:tabs>
      <w:spacing w:before="0" w:after="120" w:line="220" w:lineRule="exact"/>
      <w:ind w:left="142" w:hanging="142"/>
    </w:pPr>
    <w:rPr>
      <w:sz w:val="20"/>
      <w:szCs w:val="20"/>
    </w:rPr>
  </w:style>
  <w:style w:type="character" w:styleId="FootnoteReference">
    <w:name w:val="footnote reference"/>
    <w:basedOn w:val="DefaultParagraphFont"/>
    <w:semiHidden/>
    <w:rsid w:val="00A906DC"/>
    <w:rPr>
      <w:vertAlign w:val="superscript"/>
    </w:rPr>
  </w:style>
  <w:style w:type="paragraph" w:customStyle="1" w:styleId="DocumentFigureHeading">
    <w:name w:val="Document Figure Heading"/>
    <w:basedOn w:val="B1BodyText"/>
    <w:next w:val="B1BodyText"/>
    <w:semiHidden/>
    <w:rsid w:val="00EB75C1"/>
    <w:pPr>
      <w:spacing w:before="240"/>
    </w:pPr>
    <w:rPr>
      <w:b/>
      <w:sz w:val="20"/>
    </w:rPr>
  </w:style>
  <w:style w:type="paragraph" w:customStyle="1" w:styleId="Quotation">
    <w:name w:val="Quotation"/>
    <w:basedOn w:val="B1BodyText"/>
    <w:semiHidden/>
    <w:qFormat/>
    <w:rsid w:val="00DD638F"/>
    <w:pPr>
      <w:spacing w:before="180" w:line="360" w:lineRule="auto"/>
      <w:ind w:left="1134" w:right="567"/>
    </w:pPr>
    <w:rPr>
      <w:i/>
      <w:sz w:val="24"/>
    </w:rPr>
  </w:style>
  <w:style w:type="table" w:styleId="TableGrid">
    <w:name w:val="Table Grid"/>
    <w:basedOn w:val="TableNormal"/>
    <w:semiHidden/>
    <w:rsid w:val="007142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 Text"/>
    <w:basedOn w:val="B1BodyText"/>
    <w:qFormat/>
    <w:rsid w:val="00D039F1"/>
    <w:pPr>
      <w:spacing w:after="120" w:line="288" w:lineRule="auto"/>
      <w:ind w:left="0"/>
    </w:pPr>
    <w:rPr>
      <w:sz w:val="24"/>
    </w:rPr>
  </w:style>
  <w:style w:type="paragraph" w:customStyle="1" w:styleId="TableText-ColumnHeading">
    <w:name w:val="Table Text - Column Heading"/>
    <w:basedOn w:val="TableText"/>
    <w:qFormat/>
    <w:rsid w:val="00D039F1"/>
    <w:pPr>
      <w:jc w:val="center"/>
    </w:pPr>
    <w:rPr>
      <w:b/>
    </w:rPr>
  </w:style>
  <w:style w:type="character" w:styleId="Hyperlink">
    <w:name w:val="Hyperlink"/>
    <w:basedOn w:val="DefaultParagraphFont"/>
    <w:semiHidden/>
    <w:rsid w:val="00EC7BC9"/>
    <w:rPr>
      <w:color w:val="0000FF"/>
      <w:u w:val="single"/>
    </w:rPr>
  </w:style>
  <w:style w:type="character" w:customStyle="1" w:styleId="B1BodyTextCharChar">
    <w:name w:val="B1 Body Text Char Char"/>
    <w:basedOn w:val="DefaultParagraphFont"/>
    <w:link w:val="B1BodyText"/>
    <w:semiHidden/>
    <w:rsid w:val="00B15E45"/>
    <w:rPr>
      <w:rFonts w:ascii="Arial" w:hAnsi="Arial" w:cs="ITC Stone Sans Std Medium"/>
      <w:color w:val="000000"/>
      <w:sz w:val="22"/>
      <w:szCs w:val="24"/>
    </w:rPr>
  </w:style>
  <w:style w:type="character" w:customStyle="1" w:styleId="B2BodyTextBullet2CharChar">
    <w:name w:val="B2 Body Text Bullet 2 Char Char"/>
    <w:basedOn w:val="B1BodyTextCharChar"/>
    <w:link w:val="B2BodyTextBullet2"/>
    <w:semiHidden/>
    <w:rsid w:val="00B15E45"/>
    <w:rPr>
      <w:rFonts w:ascii="Arial" w:hAnsi="Arial" w:cs="ITC Stone Sans Std Medium"/>
      <w:color w:val="000000"/>
      <w:sz w:val="24"/>
      <w:szCs w:val="24"/>
    </w:rPr>
  </w:style>
  <w:style w:type="numbering" w:styleId="1ai">
    <w:name w:val="Outline List 1"/>
    <w:basedOn w:val="NoList"/>
    <w:semiHidden/>
    <w:rsid w:val="00A10CD5"/>
    <w:pPr>
      <w:numPr>
        <w:numId w:val="14"/>
      </w:numPr>
    </w:pPr>
  </w:style>
  <w:style w:type="numbering" w:styleId="ArticleSection">
    <w:name w:val="Outline List 3"/>
    <w:basedOn w:val="NoList"/>
    <w:semiHidden/>
    <w:rsid w:val="00A10CD5"/>
    <w:pPr>
      <w:numPr>
        <w:numId w:val="15"/>
      </w:numPr>
    </w:pPr>
  </w:style>
  <w:style w:type="paragraph" w:styleId="BlockText">
    <w:name w:val="Block Text"/>
    <w:basedOn w:val="Normal"/>
    <w:semiHidden/>
    <w:rsid w:val="00A10CD5"/>
    <w:pPr>
      <w:spacing w:after="120"/>
      <w:ind w:left="1440" w:right="1440"/>
    </w:pPr>
  </w:style>
  <w:style w:type="paragraph" w:styleId="BodyText2">
    <w:name w:val="Body Text 2"/>
    <w:basedOn w:val="Normal"/>
    <w:semiHidden/>
    <w:rsid w:val="00A10CD5"/>
    <w:pPr>
      <w:spacing w:after="120" w:line="480" w:lineRule="auto"/>
    </w:pPr>
  </w:style>
  <w:style w:type="paragraph" w:styleId="BodyText3">
    <w:name w:val="Body Text 3"/>
    <w:basedOn w:val="Normal"/>
    <w:semiHidden/>
    <w:rsid w:val="00A10CD5"/>
    <w:pPr>
      <w:spacing w:after="120"/>
    </w:pPr>
    <w:rPr>
      <w:sz w:val="16"/>
      <w:szCs w:val="16"/>
    </w:rPr>
  </w:style>
  <w:style w:type="paragraph" w:customStyle="1" w:styleId="DocumentNumber">
    <w:name w:val="Document Number"/>
    <w:basedOn w:val="DocumentFigureHeading"/>
    <w:next w:val="DocumentOutline"/>
    <w:semiHidden/>
    <w:rsid w:val="00791FA1"/>
    <w:pPr>
      <w:spacing w:before="0" w:after="960"/>
      <w:ind w:left="0"/>
      <w:jc w:val="center"/>
    </w:pPr>
  </w:style>
  <w:style w:type="paragraph" w:styleId="BodyTextFirstIndent">
    <w:name w:val="Body Text First Indent"/>
    <w:basedOn w:val="Normal"/>
    <w:semiHidden/>
    <w:rsid w:val="00A10CD5"/>
    <w:pPr>
      <w:spacing w:after="120"/>
      <w:ind w:firstLine="210"/>
    </w:pPr>
  </w:style>
  <w:style w:type="paragraph" w:styleId="BodyTextIndent">
    <w:name w:val="Body Text Indent"/>
    <w:basedOn w:val="Normal"/>
    <w:semiHidden/>
    <w:rsid w:val="00A10CD5"/>
    <w:pPr>
      <w:spacing w:after="120"/>
      <w:ind w:left="283"/>
    </w:pPr>
  </w:style>
  <w:style w:type="paragraph" w:styleId="BodyTextFirstIndent2">
    <w:name w:val="Body Text First Indent 2"/>
    <w:basedOn w:val="BodyTextIndent"/>
    <w:semiHidden/>
    <w:rsid w:val="00A10CD5"/>
    <w:pPr>
      <w:ind w:firstLine="210"/>
    </w:pPr>
  </w:style>
  <w:style w:type="paragraph" w:styleId="BodyTextIndent2">
    <w:name w:val="Body Text Indent 2"/>
    <w:basedOn w:val="Normal"/>
    <w:semiHidden/>
    <w:rsid w:val="00A10CD5"/>
    <w:pPr>
      <w:spacing w:after="120" w:line="480" w:lineRule="auto"/>
      <w:ind w:left="283"/>
    </w:pPr>
  </w:style>
  <w:style w:type="paragraph" w:styleId="BodyTextIndent3">
    <w:name w:val="Body Text Indent 3"/>
    <w:basedOn w:val="Normal"/>
    <w:semiHidden/>
    <w:rsid w:val="00A10CD5"/>
    <w:pPr>
      <w:spacing w:after="120"/>
      <w:ind w:left="283"/>
    </w:pPr>
    <w:rPr>
      <w:sz w:val="16"/>
      <w:szCs w:val="16"/>
    </w:rPr>
  </w:style>
  <w:style w:type="paragraph" w:styleId="Closing">
    <w:name w:val="Closing"/>
    <w:basedOn w:val="Normal"/>
    <w:semiHidden/>
    <w:rsid w:val="00A10CD5"/>
    <w:pPr>
      <w:ind w:left="4252"/>
    </w:pPr>
  </w:style>
  <w:style w:type="paragraph" w:styleId="Date">
    <w:name w:val="Date"/>
    <w:basedOn w:val="Normal"/>
    <w:next w:val="Normal"/>
    <w:semiHidden/>
    <w:rsid w:val="00A10CD5"/>
  </w:style>
  <w:style w:type="paragraph" w:styleId="E-mailSignature">
    <w:name w:val="E-mail Signature"/>
    <w:basedOn w:val="Normal"/>
    <w:semiHidden/>
    <w:rsid w:val="00A10CD5"/>
  </w:style>
  <w:style w:type="character" w:styleId="Emphasis">
    <w:name w:val="Emphasis"/>
    <w:basedOn w:val="DefaultParagraphFont"/>
    <w:semiHidden/>
    <w:rsid w:val="00A10CD5"/>
    <w:rPr>
      <w:i/>
      <w:iCs/>
    </w:rPr>
  </w:style>
  <w:style w:type="paragraph" w:styleId="EnvelopeAddress">
    <w:name w:val="envelope address"/>
    <w:basedOn w:val="Normal"/>
    <w:semiHidden/>
    <w:rsid w:val="00A10CD5"/>
    <w:pPr>
      <w:framePr w:w="7920" w:h="1980" w:hRule="exact" w:hSpace="180" w:wrap="auto" w:hAnchor="page" w:xAlign="center" w:yAlign="bottom"/>
      <w:ind w:left="2880"/>
    </w:pPr>
    <w:rPr>
      <w:rFonts w:cs="Arial"/>
    </w:rPr>
  </w:style>
  <w:style w:type="paragraph" w:styleId="EnvelopeReturn">
    <w:name w:val="envelope return"/>
    <w:basedOn w:val="Normal"/>
    <w:semiHidden/>
    <w:rsid w:val="00A10CD5"/>
    <w:rPr>
      <w:rFonts w:cs="Arial"/>
      <w:sz w:val="20"/>
      <w:szCs w:val="20"/>
    </w:rPr>
  </w:style>
  <w:style w:type="character" w:styleId="FollowedHyperlink">
    <w:name w:val="FollowedHyperlink"/>
    <w:basedOn w:val="DefaultParagraphFont"/>
    <w:semiHidden/>
    <w:rsid w:val="00A10CD5"/>
    <w:rPr>
      <w:color w:val="800080"/>
      <w:u w:val="single"/>
    </w:rPr>
  </w:style>
  <w:style w:type="character" w:styleId="HTMLAcronym">
    <w:name w:val="HTML Acronym"/>
    <w:basedOn w:val="DefaultParagraphFont"/>
    <w:semiHidden/>
    <w:rsid w:val="00A10CD5"/>
  </w:style>
  <w:style w:type="paragraph" w:styleId="HTMLAddress">
    <w:name w:val="HTML Address"/>
    <w:basedOn w:val="Normal"/>
    <w:semiHidden/>
    <w:rsid w:val="00A10CD5"/>
    <w:rPr>
      <w:i/>
      <w:iCs/>
    </w:rPr>
  </w:style>
  <w:style w:type="character" w:styleId="HTMLCite">
    <w:name w:val="HTML Cite"/>
    <w:basedOn w:val="DefaultParagraphFont"/>
    <w:semiHidden/>
    <w:rsid w:val="00A10CD5"/>
    <w:rPr>
      <w:i/>
      <w:iCs/>
    </w:rPr>
  </w:style>
  <w:style w:type="character" w:styleId="HTMLCode">
    <w:name w:val="HTML Code"/>
    <w:basedOn w:val="DefaultParagraphFont"/>
    <w:semiHidden/>
    <w:rsid w:val="00A10CD5"/>
    <w:rPr>
      <w:rFonts w:ascii="Courier New" w:hAnsi="Courier New" w:cs="Courier New"/>
      <w:sz w:val="20"/>
      <w:szCs w:val="20"/>
    </w:rPr>
  </w:style>
  <w:style w:type="character" w:styleId="HTMLDefinition">
    <w:name w:val="HTML Definition"/>
    <w:basedOn w:val="DefaultParagraphFont"/>
    <w:semiHidden/>
    <w:rsid w:val="00A10CD5"/>
    <w:rPr>
      <w:i/>
      <w:iCs/>
    </w:rPr>
  </w:style>
  <w:style w:type="character" w:styleId="HTMLKeyboard">
    <w:name w:val="HTML Keyboard"/>
    <w:basedOn w:val="DefaultParagraphFont"/>
    <w:semiHidden/>
    <w:rsid w:val="00A10CD5"/>
    <w:rPr>
      <w:rFonts w:ascii="Courier New" w:hAnsi="Courier New" w:cs="Courier New"/>
      <w:sz w:val="20"/>
      <w:szCs w:val="20"/>
    </w:rPr>
  </w:style>
  <w:style w:type="paragraph" w:styleId="HTMLPreformatted">
    <w:name w:val="HTML Preformatted"/>
    <w:basedOn w:val="Normal"/>
    <w:semiHidden/>
    <w:rsid w:val="00A10CD5"/>
    <w:rPr>
      <w:rFonts w:ascii="Courier New" w:hAnsi="Courier New" w:cs="Courier New"/>
      <w:sz w:val="20"/>
      <w:szCs w:val="20"/>
    </w:rPr>
  </w:style>
  <w:style w:type="character" w:styleId="HTMLSample">
    <w:name w:val="HTML Sample"/>
    <w:basedOn w:val="DefaultParagraphFont"/>
    <w:semiHidden/>
    <w:rsid w:val="00A10CD5"/>
    <w:rPr>
      <w:rFonts w:ascii="Courier New" w:hAnsi="Courier New" w:cs="Courier New"/>
    </w:rPr>
  </w:style>
  <w:style w:type="character" w:styleId="HTMLTypewriter">
    <w:name w:val="HTML Typewriter"/>
    <w:basedOn w:val="DefaultParagraphFont"/>
    <w:semiHidden/>
    <w:rsid w:val="00A10CD5"/>
    <w:rPr>
      <w:rFonts w:ascii="Courier New" w:hAnsi="Courier New" w:cs="Courier New"/>
      <w:sz w:val="20"/>
      <w:szCs w:val="20"/>
    </w:rPr>
  </w:style>
  <w:style w:type="character" w:styleId="HTMLVariable">
    <w:name w:val="HTML Variable"/>
    <w:basedOn w:val="DefaultParagraphFont"/>
    <w:semiHidden/>
    <w:rsid w:val="00A10CD5"/>
    <w:rPr>
      <w:i/>
      <w:iCs/>
    </w:rPr>
  </w:style>
  <w:style w:type="character" w:styleId="LineNumber">
    <w:name w:val="line number"/>
    <w:basedOn w:val="DefaultParagraphFont"/>
    <w:semiHidden/>
    <w:rsid w:val="00A10CD5"/>
  </w:style>
  <w:style w:type="paragraph" w:styleId="List">
    <w:name w:val="List"/>
    <w:basedOn w:val="Normal"/>
    <w:semiHidden/>
    <w:rsid w:val="00A10CD5"/>
    <w:pPr>
      <w:ind w:left="283" w:hanging="283"/>
    </w:pPr>
  </w:style>
  <w:style w:type="paragraph" w:styleId="List2">
    <w:name w:val="List 2"/>
    <w:basedOn w:val="Normal"/>
    <w:semiHidden/>
    <w:rsid w:val="00A10CD5"/>
    <w:pPr>
      <w:ind w:left="566" w:hanging="283"/>
    </w:pPr>
  </w:style>
  <w:style w:type="paragraph" w:styleId="List3">
    <w:name w:val="List 3"/>
    <w:basedOn w:val="Normal"/>
    <w:semiHidden/>
    <w:rsid w:val="00A10CD5"/>
    <w:pPr>
      <w:ind w:left="849" w:hanging="283"/>
    </w:pPr>
  </w:style>
  <w:style w:type="paragraph" w:styleId="List4">
    <w:name w:val="List 4"/>
    <w:basedOn w:val="Normal"/>
    <w:semiHidden/>
    <w:rsid w:val="00A10CD5"/>
    <w:pPr>
      <w:ind w:left="1132" w:hanging="283"/>
    </w:pPr>
  </w:style>
  <w:style w:type="paragraph" w:styleId="List5">
    <w:name w:val="List 5"/>
    <w:basedOn w:val="Normal"/>
    <w:semiHidden/>
    <w:rsid w:val="00A10CD5"/>
    <w:pPr>
      <w:ind w:left="1415" w:hanging="283"/>
    </w:pPr>
  </w:style>
  <w:style w:type="paragraph" w:styleId="ListBullet">
    <w:name w:val="List Bullet"/>
    <w:basedOn w:val="Normal"/>
    <w:semiHidden/>
    <w:rsid w:val="00A10CD5"/>
    <w:pPr>
      <w:numPr>
        <w:numId w:val="3"/>
      </w:numPr>
    </w:pPr>
  </w:style>
  <w:style w:type="paragraph" w:styleId="ListBullet2">
    <w:name w:val="List Bullet 2"/>
    <w:basedOn w:val="Normal"/>
    <w:semiHidden/>
    <w:rsid w:val="00A10CD5"/>
    <w:pPr>
      <w:numPr>
        <w:numId w:val="4"/>
      </w:numPr>
    </w:pPr>
  </w:style>
  <w:style w:type="paragraph" w:styleId="ListBullet3">
    <w:name w:val="List Bullet 3"/>
    <w:basedOn w:val="Normal"/>
    <w:semiHidden/>
    <w:rsid w:val="00A10CD5"/>
    <w:pPr>
      <w:numPr>
        <w:numId w:val="5"/>
      </w:numPr>
    </w:pPr>
  </w:style>
  <w:style w:type="paragraph" w:styleId="ListBullet4">
    <w:name w:val="List Bullet 4"/>
    <w:basedOn w:val="Normal"/>
    <w:semiHidden/>
    <w:rsid w:val="00A10CD5"/>
    <w:pPr>
      <w:numPr>
        <w:numId w:val="6"/>
      </w:numPr>
    </w:pPr>
  </w:style>
  <w:style w:type="paragraph" w:styleId="ListBullet5">
    <w:name w:val="List Bullet 5"/>
    <w:basedOn w:val="Normal"/>
    <w:semiHidden/>
    <w:rsid w:val="00A10CD5"/>
    <w:pPr>
      <w:numPr>
        <w:numId w:val="7"/>
      </w:numPr>
    </w:pPr>
  </w:style>
  <w:style w:type="paragraph" w:styleId="ListContinue">
    <w:name w:val="List Continue"/>
    <w:basedOn w:val="Normal"/>
    <w:semiHidden/>
    <w:rsid w:val="00A10CD5"/>
    <w:pPr>
      <w:spacing w:after="120"/>
      <w:ind w:left="283"/>
    </w:pPr>
  </w:style>
  <w:style w:type="paragraph" w:styleId="ListContinue2">
    <w:name w:val="List Continue 2"/>
    <w:basedOn w:val="Normal"/>
    <w:semiHidden/>
    <w:rsid w:val="00A10CD5"/>
    <w:pPr>
      <w:spacing w:after="120"/>
      <w:ind w:left="566"/>
    </w:pPr>
  </w:style>
  <w:style w:type="paragraph" w:styleId="ListContinue3">
    <w:name w:val="List Continue 3"/>
    <w:basedOn w:val="Normal"/>
    <w:semiHidden/>
    <w:rsid w:val="00A10CD5"/>
    <w:pPr>
      <w:spacing w:after="120"/>
      <w:ind w:left="849"/>
    </w:pPr>
  </w:style>
  <w:style w:type="paragraph" w:styleId="ListContinue4">
    <w:name w:val="List Continue 4"/>
    <w:basedOn w:val="Normal"/>
    <w:semiHidden/>
    <w:rsid w:val="00A10CD5"/>
    <w:pPr>
      <w:spacing w:after="120"/>
      <w:ind w:left="1132"/>
    </w:pPr>
  </w:style>
  <w:style w:type="paragraph" w:styleId="ListContinue5">
    <w:name w:val="List Continue 5"/>
    <w:basedOn w:val="Normal"/>
    <w:semiHidden/>
    <w:rsid w:val="00A10CD5"/>
    <w:pPr>
      <w:spacing w:after="120"/>
      <w:ind w:left="1415"/>
    </w:pPr>
  </w:style>
  <w:style w:type="paragraph" w:styleId="ListNumber">
    <w:name w:val="List Number"/>
    <w:basedOn w:val="Normal"/>
    <w:semiHidden/>
    <w:rsid w:val="00A10CD5"/>
    <w:pPr>
      <w:numPr>
        <w:numId w:val="8"/>
      </w:numPr>
    </w:pPr>
  </w:style>
  <w:style w:type="paragraph" w:styleId="ListNumber2">
    <w:name w:val="List Number 2"/>
    <w:basedOn w:val="Normal"/>
    <w:semiHidden/>
    <w:rsid w:val="00A10CD5"/>
    <w:pPr>
      <w:numPr>
        <w:numId w:val="9"/>
      </w:numPr>
    </w:pPr>
  </w:style>
  <w:style w:type="paragraph" w:styleId="ListNumber3">
    <w:name w:val="List Number 3"/>
    <w:basedOn w:val="Normal"/>
    <w:semiHidden/>
    <w:rsid w:val="00A10CD5"/>
    <w:pPr>
      <w:numPr>
        <w:numId w:val="10"/>
      </w:numPr>
    </w:pPr>
  </w:style>
  <w:style w:type="paragraph" w:styleId="ListNumber4">
    <w:name w:val="List Number 4"/>
    <w:basedOn w:val="Normal"/>
    <w:semiHidden/>
    <w:rsid w:val="00A10CD5"/>
    <w:pPr>
      <w:numPr>
        <w:numId w:val="11"/>
      </w:numPr>
    </w:pPr>
  </w:style>
  <w:style w:type="paragraph" w:styleId="ListNumber5">
    <w:name w:val="List Number 5"/>
    <w:basedOn w:val="Normal"/>
    <w:semiHidden/>
    <w:rsid w:val="00A10CD5"/>
    <w:pPr>
      <w:numPr>
        <w:numId w:val="12"/>
      </w:numPr>
    </w:pPr>
  </w:style>
  <w:style w:type="paragraph" w:styleId="MessageHeader">
    <w:name w:val="Message Header"/>
    <w:basedOn w:val="Normal"/>
    <w:semiHidden/>
    <w:rsid w:val="00A10CD5"/>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rsid w:val="00A10CD5"/>
  </w:style>
  <w:style w:type="paragraph" w:styleId="NormalIndent">
    <w:name w:val="Normal Indent"/>
    <w:basedOn w:val="Normal"/>
    <w:semiHidden/>
    <w:rsid w:val="00A10CD5"/>
    <w:pPr>
      <w:ind w:left="720"/>
    </w:pPr>
  </w:style>
  <w:style w:type="paragraph" w:styleId="NoteHeading">
    <w:name w:val="Note Heading"/>
    <w:basedOn w:val="Normal"/>
    <w:next w:val="Normal"/>
    <w:semiHidden/>
    <w:rsid w:val="00A10CD5"/>
  </w:style>
  <w:style w:type="paragraph" w:styleId="PlainText">
    <w:name w:val="Plain Text"/>
    <w:basedOn w:val="Normal"/>
    <w:semiHidden/>
    <w:rsid w:val="00A10CD5"/>
    <w:rPr>
      <w:rFonts w:ascii="Courier New" w:hAnsi="Courier New" w:cs="Courier New"/>
      <w:sz w:val="20"/>
      <w:szCs w:val="20"/>
    </w:rPr>
  </w:style>
  <w:style w:type="paragraph" w:styleId="Salutation">
    <w:name w:val="Salutation"/>
    <w:basedOn w:val="Normal"/>
    <w:next w:val="Normal"/>
    <w:semiHidden/>
    <w:rsid w:val="00A10CD5"/>
  </w:style>
  <w:style w:type="paragraph" w:styleId="Signature">
    <w:name w:val="Signature"/>
    <w:basedOn w:val="Normal"/>
    <w:semiHidden/>
    <w:rsid w:val="00A10CD5"/>
    <w:pPr>
      <w:ind w:left="4252"/>
    </w:pPr>
  </w:style>
  <w:style w:type="character" w:styleId="Strong">
    <w:name w:val="Strong"/>
    <w:basedOn w:val="DefaultParagraphFont"/>
    <w:semiHidden/>
    <w:rsid w:val="00A10CD5"/>
    <w:rPr>
      <w:b/>
      <w:bCs/>
    </w:rPr>
  </w:style>
  <w:style w:type="paragraph" w:styleId="Subtitle">
    <w:name w:val="Subtitle"/>
    <w:basedOn w:val="Normal"/>
    <w:semiHidden/>
    <w:rsid w:val="00A10CD5"/>
    <w:pPr>
      <w:spacing w:after="60"/>
      <w:jc w:val="center"/>
      <w:outlineLvl w:val="1"/>
    </w:pPr>
    <w:rPr>
      <w:rFonts w:cs="Arial"/>
    </w:rPr>
  </w:style>
  <w:style w:type="table" w:styleId="Table3Deffects1">
    <w:name w:val="Table 3D effects 1"/>
    <w:basedOn w:val="TableNormal"/>
    <w:semiHidden/>
    <w:rsid w:val="00A10CD5"/>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10CD5"/>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10CD5"/>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A10CD5"/>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10CD5"/>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10CD5"/>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10CD5"/>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10CD5"/>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10CD5"/>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10CD5"/>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10CD5"/>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10CD5"/>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10CD5"/>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10CD5"/>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10CD5"/>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A10CD5"/>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10CD5"/>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A10CD5"/>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10CD5"/>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10CD5"/>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10CD5"/>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10CD5"/>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10CD5"/>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10CD5"/>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10CD5"/>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10CD5"/>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10CD5"/>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10CD5"/>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10CD5"/>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10CD5"/>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10CD5"/>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10CD5"/>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10CD5"/>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A10CD5"/>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A10CD5"/>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10CD5"/>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10CD5"/>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10CD5"/>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10CD5"/>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A10C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A10CD5"/>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10CD5"/>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10CD5"/>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semiHidden/>
    <w:rsid w:val="00A10CD5"/>
    <w:pPr>
      <w:spacing w:before="240" w:after="60"/>
      <w:jc w:val="center"/>
      <w:outlineLvl w:val="0"/>
    </w:pPr>
    <w:rPr>
      <w:rFonts w:cs="Arial"/>
      <w:b/>
      <w:bCs/>
      <w:kern w:val="28"/>
      <w:sz w:val="32"/>
      <w:szCs w:val="32"/>
    </w:rPr>
  </w:style>
  <w:style w:type="paragraph" w:customStyle="1" w:styleId="CoverNote">
    <w:name w:val="Cover Note"/>
    <w:basedOn w:val="Normal"/>
    <w:semiHidden/>
    <w:rsid w:val="00EB75C1"/>
    <w:pPr>
      <w:framePr w:w="9639" w:hSpace="181" w:wrap="notBeside" w:vAnchor="page" w:hAnchor="page" w:x="1135" w:y="15310"/>
      <w:spacing w:line="220" w:lineRule="atLeast"/>
      <w:jc w:val="center"/>
    </w:pPr>
    <w:rPr>
      <w:sz w:val="16"/>
      <w:szCs w:val="20"/>
    </w:rPr>
  </w:style>
  <w:style w:type="paragraph" w:styleId="TOC1">
    <w:name w:val="toc 1"/>
    <w:basedOn w:val="DocumentContents"/>
    <w:next w:val="DocumentContents"/>
    <w:uiPriority w:val="39"/>
    <w:semiHidden/>
    <w:rsid w:val="00E1307F"/>
    <w:pPr>
      <w:tabs>
        <w:tab w:val="clear" w:pos="992"/>
        <w:tab w:val="clear" w:pos="9072"/>
      </w:tabs>
      <w:spacing w:before="240" w:after="0" w:line="240" w:lineRule="auto"/>
      <w:ind w:left="0" w:firstLine="0"/>
    </w:pPr>
    <w:rPr>
      <w:rFonts w:cs="Times New Roman"/>
      <w:bCs/>
      <w:color w:val="auto"/>
      <w:sz w:val="24"/>
      <w:lang w:val="en-US" w:eastAsia="en-US"/>
    </w:rPr>
  </w:style>
  <w:style w:type="paragraph" w:styleId="TOC2">
    <w:name w:val="toc 2"/>
    <w:basedOn w:val="DocumentContents"/>
    <w:next w:val="Normal"/>
    <w:uiPriority w:val="39"/>
    <w:semiHidden/>
    <w:rsid w:val="00E1307F"/>
    <w:pPr>
      <w:tabs>
        <w:tab w:val="clear" w:pos="992"/>
        <w:tab w:val="clear" w:pos="9072"/>
      </w:tabs>
    </w:pPr>
    <w:rPr>
      <w:rFonts w:cstheme="minorHAnsi"/>
      <w:bCs/>
      <w:color w:val="auto"/>
      <w:sz w:val="24"/>
      <w:szCs w:val="20"/>
      <w:lang w:val="en-US" w:eastAsia="en-US"/>
    </w:rPr>
  </w:style>
  <w:style w:type="paragraph" w:styleId="TOC3">
    <w:name w:val="toc 3"/>
    <w:basedOn w:val="DocumentContents"/>
    <w:next w:val="DocumentContents"/>
    <w:uiPriority w:val="39"/>
    <w:semiHidden/>
    <w:rsid w:val="00E1307F"/>
    <w:pPr>
      <w:tabs>
        <w:tab w:val="clear" w:pos="992"/>
        <w:tab w:val="clear" w:pos="9072"/>
      </w:tabs>
    </w:pPr>
    <w:rPr>
      <w:rFonts w:cstheme="minorHAnsi"/>
      <w:color w:val="auto"/>
      <w:sz w:val="24"/>
      <w:szCs w:val="20"/>
      <w:lang w:val="en-US" w:eastAsia="en-US"/>
    </w:rPr>
  </w:style>
  <w:style w:type="paragraph" w:styleId="TOC4">
    <w:name w:val="toc 4"/>
    <w:basedOn w:val="DocumentContents"/>
    <w:next w:val="DocumentContents"/>
    <w:uiPriority w:val="39"/>
    <w:semiHidden/>
    <w:rsid w:val="00E1307F"/>
    <w:pPr>
      <w:tabs>
        <w:tab w:val="clear" w:pos="992"/>
        <w:tab w:val="clear" w:pos="9072"/>
      </w:tabs>
    </w:pPr>
    <w:rPr>
      <w:rFonts w:cstheme="minorHAnsi"/>
      <w:color w:val="auto"/>
      <w:sz w:val="24"/>
      <w:szCs w:val="20"/>
      <w:lang w:val="en-US" w:eastAsia="en-US"/>
    </w:rPr>
  </w:style>
  <w:style w:type="paragraph" w:styleId="TOC5">
    <w:name w:val="toc 5"/>
    <w:basedOn w:val="Normal"/>
    <w:next w:val="Normal"/>
    <w:autoRedefine/>
    <w:uiPriority w:val="39"/>
    <w:semiHidden/>
    <w:rsid w:val="00FF0DB4"/>
    <w:pPr>
      <w:spacing w:after="120"/>
      <w:ind w:left="992" w:hanging="992"/>
    </w:pPr>
    <w:rPr>
      <w:rFonts w:cstheme="minorHAnsi"/>
      <w:szCs w:val="20"/>
    </w:rPr>
  </w:style>
  <w:style w:type="paragraph" w:styleId="TOC6">
    <w:name w:val="toc 6"/>
    <w:basedOn w:val="Normal"/>
    <w:next w:val="Normal"/>
    <w:autoRedefine/>
    <w:uiPriority w:val="39"/>
    <w:semiHidden/>
    <w:rsid w:val="00FF0DB4"/>
    <w:pPr>
      <w:spacing w:after="120"/>
      <w:ind w:left="992" w:hanging="992"/>
    </w:pPr>
    <w:rPr>
      <w:rFonts w:cstheme="minorHAnsi"/>
      <w:szCs w:val="20"/>
    </w:rPr>
  </w:style>
  <w:style w:type="paragraph" w:styleId="TOC7">
    <w:name w:val="toc 7"/>
    <w:basedOn w:val="Normal"/>
    <w:next w:val="Normal"/>
    <w:autoRedefine/>
    <w:uiPriority w:val="39"/>
    <w:semiHidden/>
    <w:rsid w:val="00FF0DB4"/>
    <w:pPr>
      <w:spacing w:after="120"/>
      <w:ind w:left="992" w:hanging="992"/>
    </w:pPr>
    <w:rPr>
      <w:rFonts w:cstheme="minorHAnsi"/>
      <w:szCs w:val="20"/>
    </w:rPr>
  </w:style>
  <w:style w:type="paragraph" w:styleId="TOC8">
    <w:name w:val="toc 8"/>
    <w:basedOn w:val="Normal"/>
    <w:next w:val="Normal"/>
    <w:autoRedefine/>
    <w:uiPriority w:val="39"/>
    <w:semiHidden/>
    <w:rsid w:val="00FF0DB4"/>
    <w:pPr>
      <w:spacing w:after="120"/>
      <w:ind w:left="992" w:hanging="992"/>
    </w:pPr>
    <w:rPr>
      <w:rFonts w:cstheme="minorHAnsi"/>
      <w:szCs w:val="20"/>
    </w:rPr>
  </w:style>
  <w:style w:type="paragraph" w:styleId="TOC9">
    <w:name w:val="toc 9"/>
    <w:basedOn w:val="Normal"/>
    <w:next w:val="Normal"/>
    <w:autoRedefine/>
    <w:semiHidden/>
    <w:rsid w:val="00FF0DB4"/>
    <w:pPr>
      <w:spacing w:after="120"/>
      <w:ind w:left="992" w:hanging="992"/>
    </w:pPr>
    <w:rPr>
      <w:rFonts w:cstheme="minorHAnsi"/>
      <w:szCs w:val="20"/>
    </w:rPr>
  </w:style>
  <w:style w:type="character" w:customStyle="1" w:styleId="FooterChar">
    <w:name w:val="Footer Char"/>
    <w:basedOn w:val="DefaultParagraphFont"/>
    <w:link w:val="Footer"/>
    <w:uiPriority w:val="99"/>
    <w:semiHidden/>
    <w:rsid w:val="00B15E45"/>
    <w:rPr>
      <w:rFonts w:ascii="Franklin Gothic Book" w:hAnsi="Franklin Gothic Book"/>
      <w:sz w:val="16"/>
      <w:szCs w:val="24"/>
      <w:lang w:val="en-US" w:eastAsia="en-US"/>
    </w:rPr>
  </w:style>
  <w:style w:type="paragraph" w:customStyle="1" w:styleId="UnnumberedHeading2">
    <w:name w:val="Unnumbered Heading 2"/>
    <w:basedOn w:val="Heading2"/>
    <w:next w:val="Normal"/>
    <w:link w:val="UnnumberedHeading2Char"/>
    <w:qFormat/>
    <w:rsid w:val="00316EB2"/>
    <w:pPr>
      <w:numPr>
        <w:ilvl w:val="0"/>
        <w:numId w:val="0"/>
      </w:numPr>
      <w:ind w:left="567"/>
    </w:pPr>
  </w:style>
  <w:style w:type="character" w:customStyle="1" w:styleId="H1SectionHeadChar">
    <w:name w:val="H1 Section Head Char"/>
    <w:basedOn w:val="DefaultParagraphFont"/>
    <w:link w:val="H1SectionHead"/>
    <w:semiHidden/>
    <w:rsid w:val="00B15E45"/>
    <w:rPr>
      <w:rFonts w:ascii="Arial" w:hAnsi="Arial" w:cs="ITC Stone Sans Std Medium"/>
      <w:color w:val="000000"/>
      <w:sz w:val="32"/>
      <w:szCs w:val="32"/>
    </w:rPr>
  </w:style>
  <w:style w:type="character" w:customStyle="1" w:styleId="Heading2Char">
    <w:name w:val="Heading 2 Char"/>
    <w:basedOn w:val="H1SectionHeadChar"/>
    <w:link w:val="Heading2"/>
    <w:rsid w:val="00B15E45"/>
    <w:rPr>
      <w:rFonts w:ascii="Arial" w:hAnsi="Arial" w:cs="ITC Stone Sans Std Medium"/>
      <w:color w:val="000000"/>
      <w:sz w:val="36"/>
      <w:szCs w:val="32"/>
    </w:rPr>
  </w:style>
  <w:style w:type="character" w:customStyle="1" w:styleId="UnnumberedHeading2Char">
    <w:name w:val="Unnumbered Heading 2 Char"/>
    <w:basedOn w:val="Heading2Char"/>
    <w:link w:val="UnnumberedHeading2"/>
    <w:rsid w:val="00316EB2"/>
    <w:rPr>
      <w:rFonts w:ascii="Arial" w:hAnsi="Arial" w:cs="ITC Stone Sans Std Medium"/>
      <w:color w:val="000000"/>
      <w:sz w:val="32"/>
      <w:szCs w:val="32"/>
    </w:rPr>
  </w:style>
  <w:style w:type="paragraph" w:customStyle="1" w:styleId="UnnumberedHeading3">
    <w:name w:val="Unnumbered Heading 3"/>
    <w:basedOn w:val="Heading3"/>
    <w:next w:val="Normal"/>
    <w:link w:val="UnnumberedHeading3Char"/>
    <w:qFormat/>
    <w:rsid w:val="00CC36D7"/>
    <w:pPr>
      <w:numPr>
        <w:ilvl w:val="0"/>
        <w:numId w:val="0"/>
      </w:numPr>
      <w:spacing w:before="320" w:after="180" w:line="320" w:lineRule="atLeast"/>
      <w:ind w:left="567"/>
    </w:pPr>
    <w:rPr>
      <w:b/>
      <w:sz w:val="24"/>
    </w:rPr>
  </w:style>
  <w:style w:type="paragraph" w:customStyle="1" w:styleId="UnnumberedHeading4">
    <w:name w:val="Unnumbered Heading 4"/>
    <w:basedOn w:val="Heading4"/>
    <w:next w:val="Normal"/>
    <w:link w:val="UnnumberedHeading4Char"/>
    <w:qFormat/>
    <w:rsid w:val="008C1196"/>
    <w:pPr>
      <w:numPr>
        <w:ilvl w:val="0"/>
        <w:numId w:val="0"/>
      </w:numPr>
      <w:spacing w:before="320"/>
      <w:ind w:left="567"/>
    </w:pPr>
  </w:style>
  <w:style w:type="character" w:customStyle="1" w:styleId="Heading3Char">
    <w:name w:val="Heading 3 Char"/>
    <w:basedOn w:val="DefaultParagraphFont"/>
    <w:link w:val="Heading3"/>
    <w:rsid w:val="00B15E45"/>
    <w:rPr>
      <w:rFonts w:ascii="Arial" w:hAnsi="Arial"/>
      <w:sz w:val="28"/>
      <w:szCs w:val="32"/>
    </w:rPr>
  </w:style>
  <w:style w:type="character" w:customStyle="1" w:styleId="UnnumberedHeading3Char">
    <w:name w:val="Unnumbered Heading 3 Char"/>
    <w:basedOn w:val="Heading3Char"/>
    <w:link w:val="UnnumberedHeading3"/>
    <w:rsid w:val="00CC36D7"/>
    <w:rPr>
      <w:rFonts w:ascii="Arial" w:hAnsi="Arial"/>
      <w:b/>
      <w:sz w:val="24"/>
      <w:szCs w:val="32"/>
    </w:rPr>
  </w:style>
  <w:style w:type="paragraph" w:customStyle="1" w:styleId="UnnumberedHeading5">
    <w:name w:val="Unnumbered Heading 5"/>
    <w:basedOn w:val="Heading5"/>
    <w:next w:val="Normal"/>
    <w:link w:val="UnnumberedHeading5Char"/>
    <w:rsid w:val="004E26C6"/>
    <w:pPr>
      <w:numPr>
        <w:ilvl w:val="0"/>
        <w:numId w:val="0"/>
      </w:numPr>
      <w:ind w:left="567"/>
    </w:pPr>
  </w:style>
  <w:style w:type="character" w:customStyle="1" w:styleId="Heading4Char">
    <w:name w:val="Heading 4 Char"/>
    <w:basedOn w:val="DefaultParagraphFont"/>
    <w:link w:val="Heading4"/>
    <w:rsid w:val="00385317"/>
    <w:rPr>
      <w:rFonts w:ascii="Arial" w:hAnsi="Arial"/>
      <w:b/>
      <w:sz w:val="24"/>
      <w:szCs w:val="24"/>
    </w:rPr>
  </w:style>
  <w:style w:type="character" w:customStyle="1" w:styleId="UnnumberedHeading4Char">
    <w:name w:val="Unnumbered Heading 4 Char"/>
    <w:basedOn w:val="Heading4Char"/>
    <w:link w:val="UnnumberedHeading4"/>
    <w:rsid w:val="008C1196"/>
    <w:rPr>
      <w:rFonts w:ascii="Arial" w:hAnsi="Arial"/>
      <w:b/>
      <w:sz w:val="22"/>
      <w:szCs w:val="24"/>
    </w:rPr>
  </w:style>
  <w:style w:type="paragraph" w:customStyle="1" w:styleId="UnnumberedHeading6">
    <w:name w:val="Unnumbered Heading 6"/>
    <w:basedOn w:val="Heading6"/>
    <w:next w:val="Normal"/>
    <w:link w:val="UnnumberedHeading6Char"/>
    <w:uiPriority w:val="16"/>
    <w:semiHidden/>
    <w:rsid w:val="004E26C6"/>
    <w:pPr>
      <w:numPr>
        <w:ilvl w:val="0"/>
        <w:numId w:val="0"/>
      </w:numPr>
      <w:ind w:left="567"/>
    </w:pPr>
  </w:style>
  <w:style w:type="character" w:customStyle="1" w:styleId="Heading5Char">
    <w:name w:val="Heading 5 Char"/>
    <w:basedOn w:val="DefaultParagraphFont"/>
    <w:link w:val="Heading5"/>
    <w:rsid w:val="004E26C6"/>
    <w:rPr>
      <w:rFonts w:ascii="Arial" w:hAnsi="Arial"/>
      <w:b/>
      <w:sz w:val="24"/>
      <w:szCs w:val="24"/>
    </w:rPr>
  </w:style>
  <w:style w:type="character" w:customStyle="1" w:styleId="UnnumberedHeading5Char">
    <w:name w:val="Unnumbered Heading 5 Char"/>
    <w:basedOn w:val="Heading5Char"/>
    <w:link w:val="UnnumberedHeading5"/>
    <w:rsid w:val="004E26C6"/>
    <w:rPr>
      <w:rFonts w:ascii="Arial" w:hAnsi="Arial"/>
      <w:b/>
      <w:sz w:val="22"/>
      <w:szCs w:val="24"/>
    </w:rPr>
  </w:style>
  <w:style w:type="paragraph" w:customStyle="1" w:styleId="UnnumberedHeading7">
    <w:name w:val="Unnumbered Heading 7"/>
    <w:basedOn w:val="Heading7"/>
    <w:next w:val="Normal"/>
    <w:link w:val="UnnumberedHeading7Char"/>
    <w:uiPriority w:val="16"/>
    <w:semiHidden/>
    <w:rsid w:val="004E26C6"/>
    <w:pPr>
      <w:numPr>
        <w:ilvl w:val="0"/>
        <w:numId w:val="0"/>
      </w:numPr>
      <w:ind w:left="567"/>
    </w:pPr>
  </w:style>
  <w:style w:type="character" w:customStyle="1" w:styleId="Heading6Char">
    <w:name w:val="Heading 6 Char"/>
    <w:basedOn w:val="Heading5Char"/>
    <w:link w:val="Heading6"/>
    <w:rsid w:val="0065622F"/>
    <w:rPr>
      <w:rFonts w:ascii="Arial" w:hAnsi="Arial"/>
      <w:b/>
      <w:sz w:val="24"/>
      <w:szCs w:val="24"/>
    </w:rPr>
  </w:style>
  <w:style w:type="character" w:customStyle="1" w:styleId="UnnumberedHeading6Char">
    <w:name w:val="Unnumbered Heading 6 Char"/>
    <w:basedOn w:val="Heading6Char"/>
    <w:link w:val="UnnumberedHeading6"/>
    <w:uiPriority w:val="16"/>
    <w:semiHidden/>
    <w:rsid w:val="0065622F"/>
    <w:rPr>
      <w:rFonts w:ascii="Arial" w:hAnsi="Arial"/>
      <w:b/>
      <w:sz w:val="24"/>
      <w:szCs w:val="24"/>
    </w:rPr>
  </w:style>
  <w:style w:type="paragraph" w:customStyle="1" w:styleId="UnnumberedHeading8">
    <w:name w:val="Unnumbered Heading 8"/>
    <w:basedOn w:val="Heading8"/>
    <w:next w:val="Normal"/>
    <w:link w:val="UnnumberedHeading8Char"/>
    <w:uiPriority w:val="16"/>
    <w:semiHidden/>
    <w:rsid w:val="004E26C6"/>
    <w:pPr>
      <w:numPr>
        <w:ilvl w:val="0"/>
        <w:numId w:val="0"/>
      </w:numPr>
      <w:ind w:left="567"/>
    </w:pPr>
  </w:style>
  <w:style w:type="character" w:customStyle="1" w:styleId="Heading7Char">
    <w:name w:val="Heading 7 Char"/>
    <w:basedOn w:val="Heading6Char"/>
    <w:link w:val="Heading7"/>
    <w:semiHidden/>
    <w:rsid w:val="0065622F"/>
    <w:rPr>
      <w:rFonts w:ascii="Arial" w:hAnsi="Arial"/>
      <w:b/>
      <w:sz w:val="24"/>
      <w:szCs w:val="24"/>
    </w:rPr>
  </w:style>
  <w:style w:type="character" w:customStyle="1" w:styleId="UnnumberedHeading7Char">
    <w:name w:val="Unnumbered Heading 7 Char"/>
    <w:basedOn w:val="Heading7Char"/>
    <w:link w:val="UnnumberedHeading7"/>
    <w:uiPriority w:val="16"/>
    <w:semiHidden/>
    <w:rsid w:val="0065622F"/>
    <w:rPr>
      <w:rFonts w:ascii="Arial" w:hAnsi="Arial"/>
      <w:b/>
      <w:sz w:val="24"/>
      <w:szCs w:val="24"/>
    </w:rPr>
  </w:style>
  <w:style w:type="paragraph" w:customStyle="1" w:styleId="UnnumberedHeading9">
    <w:name w:val="Unnumbered Heading 9"/>
    <w:basedOn w:val="Heading9"/>
    <w:next w:val="Normal"/>
    <w:link w:val="UnnumberedHeading9Char"/>
    <w:uiPriority w:val="16"/>
    <w:semiHidden/>
    <w:rsid w:val="004E26C6"/>
    <w:pPr>
      <w:numPr>
        <w:ilvl w:val="0"/>
        <w:numId w:val="0"/>
      </w:numPr>
      <w:ind w:left="567"/>
    </w:pPr>
  </w:style>
  <w:style w:type="character" w:customStyle="1" w:styleId="Heading8Char">
    <w:name w:val="Heading 8 Char"/>
    <w:basedOn w:val="Heading7Char"/>
    <w:link w:val="Heading8"/>
    <w:semiHidden/>
    <w:rsid w:val="0065622F"/>
    <w:rPr>
      <w:rFonts w:ascii="Arial" w:hAnsi="Arial"/>
      <w:b/>
      <w:sz w:val="24"/>
      <w:szCs w:val="24"/>
    </w:rPr>
  </w:style>
  <w:style w:type="character" w:customStyle="1" w:styleId="UnnumberedHeading8Char">
    <w:name w:val="Unnumbered Heading 8 Char"/>
    <w:basedOn w:val="Heading8Char"/>
    <w:link w:val="UnnumberedHeading8"/>
    <w:uiPriority w:val="16"/>
    <w:semiHidden/>
    <w:rsid w:val="0065622F"/>
    <w:rPr>
      <w:rFonts w:ascii="Arial" w:hAnsi="Arial"/>
      <w:b/>
      <w:sz w:val="24"/>
      <w:szCs w:val="24"/>
    </w:rPr>
  </w:style>
  <w:style w:type="character" w:customStyle="1" w:styleId="Heading9Char">
    <w:name w:val="Heading 9 Char"/>
    <w:basedOn w:val="Heading8Char"/>
    <w:link w:val="Heading9"/>
    <w:semiHidden/>
    <w:rsid w:val="0065622F"/>
    <w:rPr>
      <w:rFonts w:ascii="Arial" w:hAnsi="Arial"/>
      <w:b/>
      <w:sz w:val="24"/>
      <w:szCs w:val="24"/>
    </w:rPr>
  </w:style>
  <w:style w:type="character" w:customStyle="1" w:styleId="UnnumberedHeading9Char">
    <w:name w:val="Unnumbered Heading 9 Char"/>
    <w:basedOn w:val="Heading9Char"/>
    <w:link w:val="UnnumberedHeading9"/>
    <w:uiPriority w:val="16"/>
    <w:semiHidden/>
    <w:rsid w:val="0065622F"/>
    <w:rPr>
      <w:rFonts w:ascii="Arial" w:hAnsi="Arial"/>
      <w:b/>
      <w:sz w:val="24"/>
      <w:szCs w:val="24"/>
    </w:rPr>
  </w:style>
  <w:style w:type="paragraph" w:customStyle="1" w:styleId="Normal-Bullet2">
    <w:name w:val="Normal - Bullet 2"/>
    <w:basedOn w:val="B2BodyTextBullet2"/>
    <w:link w:val="Normal-Bullet2Char"/>
    <w:semiHidden/>
    <w:rsid w:val="00CF601F"/>
  </w:style>
  <w:style w:type="paragraph" w:customStyle="1" w:styleId="Normal-Bullet1">
    <w:name w:val="Normal - Bullet 1"/>
    <w:basedOn w:val="B2BodyTextBullet1"/>
    <w:link w:val="Normal-Bullet1Char"/>
    <w:semiHidden/>
    <w:rsid w:val="00CF601F"/>
  </w:style>
  <w:style w:type="character" w:customStyle="1" w:styleId="Normal-Bullet2Char">
    <w:name w:val="Normal - Bullet 2 Char"/>
    <w:basedOn w:val="B2BodyTextBullet2CharChar"/>
    <w:link w:val="Normal-Bullet2"/>
    <w:semiHidden/>
    <w:rsid w:val="00B15E45"/>
    <w:rPr>
      <w:rFonts w:ascii="Arial" w:hAnsi="Arial" w:cs="ITC Stone Sans Std Medium"/>
      <w:color w:val="000000"/>
      <w:sz w:val="24"/>
      <w:szCs w:val="24"/>
    </w:rPr>
  </w:style>
  <w:style w:type="character" w:styleId="UnresolvedMention">
    <w:name w:val="Unresolved Mention"/>
    <w:basedOn w:val="DefaultParagraphFont"/>
    <w:uiPriority w:val="99"/>
    <w:semiHidden/>
    <w:unhideWhenUsed/>
    <w:rsid w:val="00F9571B"/>
    <w:rPr>
      <w:color w:val="605E5C"/>
      <w:shd w:val="clear" w:color="auto" w:fill="E1DFDD"/>
    </w:rPr>
  </w:style>
  <w:style w:type="character" w:customStyle="1" w:styleId="B2BodyTextBullet1Char">
    <w:name w:val="B2 Body Text Bullet 1 Char"/>
    <w:basedOn w:val="B1BodyTextCharChar"/>
    <w:link w:val="B2BodyTextBullet1"/>
    <w:semiHidden/>
    <w:rsid w:val="00B15E45"/>
    <w:rPr>
      <w:rFonts w:ascii="Arial" w:hAnsi="Arial" w:cs="ITC Stone Sans Std Medium"/>
      <w:color w:val="000000"/>
      <w:sz w:val="22"/>
      <w:szCs w:val="24"/>
    </w:rPr>
  </w:style>
  <w:style w:type="character" w:customStyle="1" w:styleId="Normal-Bullet1Char">
    <w:name w:val="Normal - Bullet 1 Char"/>
    <w:basedOn w:val="B2BodyTextBullet1Char"/>
    <w:link w:val="Normal-Bullet1"/>
    <w:semiHidden/>
    <w:rsid w:val="00B15E45"/>
    <w:rPr>
      <w:rFonts w:ascii="Arial" w:hAnsi="Arial" w:cs="ITC Stone Sans Std Medium"/>
      <w:color w:val="000000"/>
      <w:sz w:val="22"/>
      <w:szCs w:val="24"/>
    </w:rPr>
  </w:style>
  <w:style w:type="paragraph" w:customStyle="1" w:styleId="ContentsHeading">
    <w:name w:val="ContentsHeading"/>
    <w:basedOn w:val="UnnumberedHeading2"/>
    <w:link w:val="ContentsHeadingChar"/>
    <w:semiHidden/>
    <w:qFormat/>
    <w:rsid w:val="00316EB2"/>
    <w:pPr>
      <w:ind w:left="0"/>
    </w:pPr>
  </w:style>
  <w:style w:type="character" w:customStyle="1" w:styleId="ContentsHeadingChar">
    <w:name w:val="ContentsHeading Char"/>
    <w:basedOn w:val="UnnumberedHeading2Char"/>
    <w:link w:val="ContentsHeading"/>
    <w:semiHidden/>
    <w:rsid w:val="00B15E45"/>
    <w:rPr>
      <w:rFonts w:ascii="Arial" w:hAnsi="Arial" w:cs="ITC Stone Sans Std Medium"/>
      <w:color w:val="000000"/>
      <w:sz w:val="36"/>
      <w:szCs w:val="32"/>
    </w:rPr>
  </w:style>
  <w:style w:type="paragraph" w:customStyle="1" w:styleId="DisclaimerBox">
    <w:name w:val="DisclaimerBox"/>
    <w:basedOn w:val="Normal"/>
    <w:next w:val="Normal"/>
    <w:link w:val="DisclaimerBoxChar"/>
    <w:semiHidden/>
    <w:qFormat/>
    <w:rsid w:val="0065622F"/>
    <w:pPr>
      <w:pBdr>
        <w:top w:val="single" w:sz="8" w:space="10" w:color="auto"/>
        <w:left w:val="single" w:sz="8" w:space="10" w:color="auto"/>
        <w:bottom w:val="single" w:sz="8" w:space="10" w:color="auto"/>
        <w:right w:val="single" w:sz="8" w:space="10" w:color="auto"/>
      </w:pBdr>
      <w:shd w:val="solid" w:color="1F497D" w:themeColor="text2" w:fill="1F497D" w:themeFill="text2"/>
      <w:spacing w:before="360" w:line="312" w:lineRule="auto"/>
      <w:ind w:right="567"/>
    </w:pPr>
    <w:rPr>
      <w:color w:val="FFFFFF" w:themeColor="background1"/>
    </w:rPr>
  </w:style>
  <w:style w:type="character" w:customStyle="1" w:styleId="DisclaimerBoxChar">
    <w:name w:val="DisclaimerBox Char"/>
    <w:basedOn w:val="DefaultParagraphFont"/>
    <w:link w:val="DisclaimerBox"/>
    <w:semiHidden/>
    <w:rsid w:val="0065622F"/>
    <w:rPr>
      <w:rFonts w:ascii="Arial" w:hAnsi="Arial"/>
      <w:color w:val="FFFFFF" w:themeColor="background1"/>
      <w:sz w:val="24"/>
      <w:szCs w:val="24"/>
      <w:shd w:val="solid" w:color="1F497D" w:themeColor="text2" w:fill="1F497D" w:themeFill="text2"/>
      <w:lang w:val="en-US" w:eastAsia="en-US"/>
    </w:rPr>
  </w:style>
  <w:style w:type="paragraph" w:customStyle="1" w:styleId="BlueBox">
    <w:name w:val="BlueBox"/>
    <w:basedOn w:val="Normal"/>
    <w:link w:val="BlueBoxChar"/>
    <w:qFormat/>
    <w:rsid w:val="00385317"/>
    <w:pPr>
      <w:pBdr>
        <w:top w:val="single" w:sz="4" w:space="10" w:color="auto"/>
        <w:left w:val="single" w:sz="4" w:space="10" w:color="auto"/>
        <w:bottom w:val="single" w:sz="4" w:space="10" w:color="auto"/>
        <w:right w:val="single" w:sz="4" w:space="10" w:color="auto"/>
      </w:pBdr>
      <w:shd w:val="clear" w:color="auto" w:fill="DBE5F1" w:themeFill="accent1" w:themeFillTint="33"/>
      <w:spacing w:after="240"/>
      <w:ind w:left="1134" w:right="1134"/>
    </w:pPr>
    <w:rPr>
      <w:lang w:val="en-GB" w:eastAsia="en-GB"/>
    </w:rPr>
  </w:style>
  <w:style w:type="paragraph" w:customStyle="1" w:styleId="BlueBoxBullets">
    <w:name w:val="BlueBoxBullets"/>
    <w:basedOn w:val="BlueBox"/>
    <w:link w:val="BlueBoxBulletsChar"/>
    <w:qFormat/>
    <w:rsid w:val="00385317"/>
    <w:pPr>
      <w:numPr>
        <w:numId w:val="17"/>
      </w:numPr>
      <w:ind w:left="1491" w:hanging="357"/>
    </w:pPr>
  </w:style>
  <w:style w:type="character" w:customStyle="1" w:styleId="BlueBoxChar">
    <w:name w:val="BlueBox Char"/>
    <w:basedOn w:val="DefaultParagraphFont"/>
    <w:link w:val="BlueBox"/>
    <w:rsid w:val="00385317"/>
    <w:rPr>
      <w:rFonts w:ascii="Arial" w:hAnsi="Arial"/>
      <w:sz w:val="24"/>
      <w:szCs w:val="24"/>
      <w:shd w:val="clear" w:color="auto" w:fill="DBE5F1" w:themeFill="accent1" w:themeFillTint="33"/>
    </w:rPr>
  </w:style>
  <w:style w:type="character" w:customStyle="1" w:styleId="BlueBoxBulletsChar">
    <w:name w:val="BlueBoxBullets Char"/>
    <w:basedOn w:val="BlueBoxChar"/>
    <w:link w:val="BlueBoxBullets"/>
    <w:rsid w:val="00385317"/>
    <w:rPr>
      <w:rFonts w:ascii="Arial" w:hAnsi="Arial"/>
      <w:sz w:val="24"/>
      <w:szCs w:val="24"/>
      <w:shd w:val="clear" w:color="auto" w:fill="DBE5F1" w:themeFill="accent1" w:themeFillTint="33"/>
    </w:rPr>
  </w:style>
  <w:style w:type="paragraph" w:customStyle="1" w:styleId="BlueBoxNumbered">
    <w:name w:val="BlueBoxNumbered"/>
    <w:basedOn w:val="BlueBoxBullets"/>
    <w:link w:val="BlueBoxNumberedChar"/>
    <w:qFormat/>
    <w:rsid w:val="00424472"/>
    <w:pPr>
      <w:numPr>
        <w:numId w:val="18"/>
      </w:numPr>
      <w:ind w:left="1491" w:hanging="357"/>
    </w:pPr>
  </w:style>
  <w:style w:type="character" w:customStyle="1" w:styleId="BlueBoxNumberedChar">
    <w:name w:val="BlueBoxNumbered Char"/>
    <w:basedOn w:val="BlueBoxBulletsChar"/>
    <w:link w:val="BlueBoxNumbered"/>
    <w:rsid w:val="00424472"/>
    <w:rPr>
      <w:rFonts w:ascii="Arial" w:hAnsi="Arial"/>
      <w:sz w:val="24"/>
      <w:szCs w:val="24"/>
      <w:shd w:val="clear" w:color="auto" w:fill="DBE5F1" w:themeFill="accent1" w:themeFillTint="33"/>
    </w:rPr>
  </w:style>
  <w:style w:type="paragraph" w:styleId="ListParagraph">
    <w:name w:val="List Paragraph"/>
    <w:basedOn w:val="Normal"/>
    <w:link w:val="ListParagraphChar"/>
    <w:uiPriority w:val="34"/>
    <w:semiHidden/>
    <w:rsid w:val="00C51FC4"/>
    <w:pPr>
      <w:ind w:left="720"/>
      <w:contextualSpacing/>
    </w:pPr>
  </w:style>
  <w:style w:type="paragraph" w:customStyle="1" w:styleId="NormalBulletList">
    <w:name w:val="Normal Bullet List"/>
    <w:basedOn w:val="ListParagraph"/>
    <w:link w:val="NormalBulletListChar"/>
    <w:qFormat/>
    <w:rsid w:val="00C51FC4"/>
    <w:pPr>
      <w:numPr>
        <w:numId w:val="19"/>
      </w:numPr>
    </w:pPr>
  </w:style>
  <w:style w:type="character" w:customStyle="1" w:styleId="ListParagraphChar">
    <w:name w:val="List Paragraph Char"/>
    <w:basedOn w:val="DefaultParagraphFont"/>
    <w:link w:val="ListParagraph"/>
    <w:uiPriority w:val="34"/>
    <w:semiHidden/>
    <w:rsid w:val="00B15E45"/>
    <w:rPr>
      <w:rFonts w:ascii="Arial" w:hAnsi="Arial"/>
      <w:sz w:val="24"/>
      <w:szCs w:val="24"/>
      <w:lang w:val="en-US" w:eastAsia="en-US"/>
    </w:rPr>
  </w:style>
  <w:style w:type="character" w:customStyle="1" w:styleId="NormalBulletListChar">
    <w:name w:val="Normal Bullet List Char"/>
    <w:basedOn w:val="ListParagraphChar"/>
    <w:link w:val="NormalBulletList"/>
    <w:rsid w:val="00C51FC4"/>
    <w:rPr>
      <w:rFonts w:ascii="Arial" w:hAnsi="Arial"/>
      <w:sz w:val="24"/>
      <w:szCs w:val="24"/>
      <w:lang w:val="en-US" w:eastAsia="en-US"/>
    </w:rPr>
  </w:style>
  <w:style w:type="paragraph" w:customStyle="1" w:styleId="NormalNumberedList">
    <w:name w:val="Normal Numbered List"/>
    <w:basedOn w:val="ListParagraph"/>
    <w:link w:val="NormalNumberedListChar"/>
    <w:qFormat/>
    <w:rsid w:val="00915227"/>
    <w:pPr>
      <w:numPr>
        <w:numId w:val="20"/>
      </w:numPr>
    </w:pPr>
    <w:rPr>
      <w:lang w:val="en-GB" w:eastAsia="en-GB"/>
    </w:rPr>
  </w:style>
  <w:style w:type="paragraph" w:customStyle="1" w:styleId="NormalAlphaList">
    <w:name w:val="Normal Alpha List"/>
    <w:basedOn w:val="ListParagraph"/>
    <w:link w:val="NormalAlphaListChar"/>
    <w:qFormat/>
    <w:rsid w:val="00BA5DF6"/>
    <w:pPr>
      <w:numPr>
        <w:numId w:val="21"/>
      </w:numPr>
    </w:pPr>
  </w:style>
  <w:style w:type="character" w:customStyle="1" w:styleId="NormalNumberedListChar">
    <w:name w:val="Normal Numbered List Char"/>
    <w:basedOn w:val="ListParagraphChar"/>
    <w:link w:val="NormalNumberedList"/>
    <w:rsid w:val="00915227"/>
    <w:rPr>
      <w:rFonts w:ascii="Arial" w:hAnsi="Arial"/>
      <w:sz w:val="24"/>
      <w:szCs w:val="24"/>
      <w:lang w:val="en-US" w:eastAsia="en-US"/>
    </w:rPr>
  </w:style>
  <w:style w:type="paragraph" w:customStyle="1" w:styleId="NormalNumeralList">
    <w:name w:val="Normal Numeral List"/>
    <w:basedOn w:val="ListParagraph"/>
    <w:link w:val="NormalNumeralListChar"/>
    <w:qFormat/>
    <w:rsid w:val="00915227"/>
    <w:pPr>
      <w:numPr>
        <w:numId w:val="22"/>
      </w:numPr>
    </w:pPr>
  </w:style>
  <w:style w:type="character" w:customStyle="1" w:styleId="NormalAlphaListChar">
    <w:name w:val="Normal Alpha List Char"/>
    <w:basedOn w:val="ListParagraphChar"/>
    <w:link w:val="NormalAlphaList"/>
    <w:rsid w:val="00BA5DF6"/>
    <w:rPr>
      <w:rFonts w:ascii="Arial" w:hAnsi="Arial"/>
      <w:sz w:val="24"/>
      <w:szCs w:val="24"/>
      <w:lang w:val="en-US" w:eastAsia="en-US"/>
    </w:rPr>
  </w:style>
  <w:style w:type="character" w:customStyle="1" w:styleId="NormalNumeralListChar">
    <w:name w:val="Normal Numeral List Char"/>
    <w:basedOn w:val="ListParagraphChar"/>
    <w:link w:val="NormalNumeralList"/>
    <w:rsid w:val="00915227"/>
    <w:rPr>
      <w:rFonts w:ascii="Arial" w:hAnsi="Arial"/>
      <w:sz w:val="24"/>
      <w:szCs w:val="24"/>
      <w:lang w:val="en-US" w:eastAsia="en-US"/>
    </w:rPr>
  </w:style>
  <w:style w:type="paragraph" w:customStyle="1" w:styleId="DocAuthor">
    <w:name w:val="DocAuthor"/>
    <w:basedOn w:val="Normal"/>
    <w:link w:val="DocAuthorChar"/>
    <w:semiHidden/>
    <w:qFormat/>
    <w:rsid w:val="00B15E45"/>
    <w:pPr>
      <w:spacing w:after="840" w:line="500" w:lineRule="atLeast"/>
      <w:ind w:left="0"/>
      <w:jc w:val="center"/>
    </w:pPr>
    <w:rPr>
      <w:b/>
    </w:rPr>
  </w:style>
  <w:style w:type="paragraph" w:customStyle="1" w:styleId="NormalCentered">
    <w:name w:val="NormalCentered"/>
    <w:basedOn w:val="Normal"/>
    <w:link w:val="NormalCenteredChar"/>
    <w:semiHidden/>
    <w:qFormat/>
    <w:rsid w:val="00B15E45"/>
    <w:pPr>
      <w:jc w:val="center"/>
    </w:pPr>
  </w:style>
  <w:style w:type="character" w:customStyle="1" w:styleId="DocAuthorChar">
    <w:name w:val="DocAuthor Char"/>
    <w:basedOn w:val="DefaultParagraphFont"/>
    <w:link w:val="DocAuthor"/>
    <w:semiHidden/>
    <w:rsid w:val="00B15E45"/>
    <w:rPr>
      <w:rFonts w:ascii="Arial" w:hAnsi="Arial"/>
      <w:b/>
      <w:sz w:val="24"/>
      <w:szCs w:val="24"/>
      <w:lang w:val="en-US" w:eastAsia="en-US"/>
    </w:rPr>
  </w:style>
  <w:style w:type="character" w:customStyle="1" w:styleId="NormalCenteredChar">
    <w:name w:val="NormalCentered Char"/>
    <w:basedOn w:val="DefaultParagraphFont"/>
    <w:link w:val="NormalCentered"/>
    <w:semiHidden/>
    <w:rsid w:val="00B15E45"/>
    <w:rPr>
      <w:rFonts w:ascii="Arial" w:hAnsi="Arial"/>
      <w:sz w:val="24"/>
      <w:szCs w:val="24"/>
      <w:lang w:val="en-US" w:eastAsia="en-US"/>
    </w:rPr>
  </w:style>
  <w:style w:type="character" w:customStyle="1" w:styleId="FootnoteTextChar">
    <w:name w:val="Footnote Text Char"/>
    <w:basedOn w:val="DefaultParagraphFont"/>
    <w:link w:val="FootnoteText"/>
    <w:semiHidden/>
    <w:rsid w:val="00C115E7"/>
    <w:rPr>
      <w:rFonts w:ascii="Arial" w:hAnsi="Arial"/>
      <w:lang w:val="en-US" w:eastAsia="en-US"/>
    </w:rPr>
  </w:style>
  <w:style w:type="paragraph" w:customStyle="1" w:styleId="introduction">
    <w:name w:val="introduction"/>
    <w:basedOn w:val="Normal"/>
    <w:uiPriority w:val="99"/>
    <w:rsid w:val="00532337"/>
    <w:pPr>
      <w:tabs>
        <w:tab w:val="clear" w:pos="567"/>
      </w:tabs>
      <w:spacing w:before="100" w:beforeAutospacing="1" w:after="100" w:afterAutospacing="1" w:line="240" w:lineRule="auto"/>
      <w:ind w:left="0"/>
    </w:pPr>
    <w:rPr>
      <w:rFonts w:ascii="Times New Roman" w:hAnsi="Times New Roman"/>
      <w:lang w:val="en-GB" w:eastAsia="en-GB"/>
    </w:rPr>
  </w:style>
  <w:style w:type="paragraph" w:styleId="BalloonText">
    <w:name w:val="Balloon Text"/>
    <w:basedOn w:val="Normal"/>
    <w:link w:val="BalloonTextChar"/>
    <w:semiHidden/>
    <w:rsid w:val="00F31F20"/>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F31F20"/>
    <w:rPr>
      <w:rFonts w:ascii="Segoe UI" w:hAnsi="Segoe UI" w:cs="Segoe UI"/>
      <w:sz w:val="18"/>
      <w:szCs w:val="18"/>
      <w:lang w:val="en-US" w:eastAsia="en-US"/>
    </w:rPr>
  </w:style>
  <w:style w:type="character" w:styleId="CommentReference">
    <w:name w:val="annotation reference"/>
    <w:basedOn w:val="DefaultParagraphFont"/>
    <w:semiHidden/>
    <w:unhideWhenUsed/>
    <w:rsid w:val="00F31F20"/>
    <w:rPr>
      <w:sz w:val="16"/>
      <w:szCs w:val="16"/>
    </w:rPr>
  </w:style>
  <w:style w:type="paragraph" w:styleId="CommentText">
    <w:name w:val="annotation text"/>
    <w:basedOn w:val="Normal"/>
    <w:link w:val="CommentTextChar"/>
    <w:semiHidden/>
    <w:unhideWhenUsed/>
    <w:rsid w:val="00F31F20"/>
    <w:pPr>
      <w:spacing w:line="240" w:lineRule="auto"/>
    </w:pPr>
    <w:rPr>
      <w:sz w:val="20"/>
      <w:szCs w:val="20"/>
    </w:rPr>
  </w:style>
  <w:style w:type="character" w:customStyle="1" w:styleId="CommentTextChar">
    <w:name w:val="Comment Text Char"/>
    <w:basedOn w:val="DefaultParagraphFont"/>
    <w:link w:val="CommentText"/>
    <w:semiHidden/>
    <w:rsid w:val="00F31F20"/>
    <w:rPr>
      <w:rFonts w:ascii="Arial" w:hAnsi="Arial"/>
      <w:lang w:val="en-US" w:eastAsia="en-US"/>
    </w:rPr>
  </w:style>
  <w:style w:type="paragraph" w:styleId="CommentSubject">
    <w:name w:val="annotation subject"/>
    <w:basedOn w:val="CommentText"/>
    <w:next w:val="CommentText"/>
    <w:link w:val="CommentSubjectChar"/>
    <w:semiHidden/>
    <w:unhideWhenUsed/>
    <w:rsid w:val="00F31F20"/>
    <w:rPr>
      <w:b/>
      <w:bCs/>
    </w:rPr>
  </w:style>
  <w:style w:type="character" w:customStyle="1" w:styleId="CommentSubjectChar">
    <w:name w:val="Comment Subject Char"/>
    <w:basedOn w:val="CommentTextChar"/>
    <w:link w:val="CommentSubject"/>
    <w:semiHidden/>
    <w:rsid w:val="00F31F20"/>
    <w:rPr>
      <w:rFonts w:ascii="Arial" w:hAnsi="Arial"/>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550702">
      <w:bodyDiv w:val="1"/>
      <w:marLeft w:val="0"/>
      <w:marRight w:val="0"/>
      <w:marTop w:val="0"/>
      <w:marBottom w:val="0"/>
      <w:divBdr>
        <w:top w:val="none" w:sz="0" w:space="0" w:color="auto"/>
        <w:left w:val="none" w:sz="0" w:space="0" w:color="auto"/>
        <w:bottom w:val="none" w:sz="0" w:space="0" w:color="auto"/>
        <w:right w:val="none" w:sz="0" w:space="0" w:color="auto"/>
      </w:divBdr>
    </w:div>
    <w:div w:id="100490509">
      <w:bodyDiv w:val="1"/>
      <w:marLeft w:val="0"/>
      <w:marRight w:val="0"/>
      <w:marTop w:val="0"/>
      <w:marBottom w:val="0"/>
      <w:divBdr>
        <w:top w:val="none" w:sz="0" w:space="0" w:color="auto"/>
        <w:left w:val="none" w:sz="0" w:space="0" w:color="auto"/>
        <w:bottom w:val="none" w:sz="0" w:space="0" w:color="auto"/>
        <w:right w:val="none" w:sz="0" w:space="0" w:color="auto"/>
      </w:divBdr>
    </w:div>
    <w:div w:id="265697316">
      <w:bodyDiv w:val="1"/>
      <w:marLeft w:val="0"/>
      <w:marRight w:val="0"/>
      <w:marTop w:val="0"/>
      <w:marBottom w:val="0"/>
      <w:divBdr>
        <w:top w:val="none" w:sz="0" w:space="0" w:color="auto"/>
        <w:left w:val="none" w:sz="0" w:space="0" w:color="auto"/>
        <w:bottom w:val="none" w:sz="0" w:space="0" w:color="auto"/>
        <w:right w:val="none" w:sz="0" w:space="0" w:color="auto"/>
      </w:divBdr>
    </w:div>
    <w:div w:id="266235200">
      <w:bodyDiv w:val="1"/>
      <w:marLeft w:val="0"/>
      <w:marRight w:val="0"/>
      <w:marTop w:val="0"/>
      <w:marBottom w:val="0"/>
      <w:divBdr>
        <w:top w:val="none" w:sz="0" w:space="0" w:color="auto"/>
        <w:left w:val="none" w:sz="0" w:space="0" w:color="auto"/>
        <w:bottom w:val="none" w:sz="0" w:space="0" w:color="auto"/>
        <w:right w:val="none" w:sz="0" w:space="0" w:color="auto"/>
      </w:divBdr>
    </w:div>
    <w:div w:id="336739364">
      <w:bodyDiv w:val="1"/>
      <w:marLeft w:val="0"/>
      <w:marRight w:val="0"/>
      <w:marTop w:val="0"/>
      <w:marBottom w:val="0"/>
      <w:divBdr>
        <w:top w:val="none" w:sz="0" w:space="0" w:color="auto"/>
        <w:left w:val="none" w:sz="0" w:space="0" w:color="auto"/>
        <w:bottom w:val="none" w:sz="0" w:space="0" w:color="auto"/>
        <w:right w:val="none" w:sz="0" w:space="0" w:color="auto"/>
      </w:divBdr>
      <w:divsChild>
        <w:div w:id="1001078342">
          <w:marLeft w:val="0"/>
          <w:marRight w:val="0"/>
          <w:marTop w:val="0"/>
          <w:marBottom w:val="0"/>
          <w:divBdr>
            <w:top w:val="none" w:sz="0" w:space="0" w:color="auto"/>
            <w:left w:val="none" w:sz="0" w:space="0" w:color="auto"/>
            <w:bottom w:val="none" w:sz="0" w:space="0" w:color="auto"/>
            <w:right w:val="none" w:sz="0" w:space="0" w:color="auto"/>
          </w:divBdr>
        </w:div>
      </w:divsChild>
    </w:div>
    <w:div w:id="351033975">
      <w:bodyDiv w:val="1"/>
      <w:marLeft w:val="0"/>
      <w:marRight w:val="0"/>
      <w:marTop w:val="0"/>
      <w:marBottom w:val="0"/>
      <w:divBdr>
        <w:top w:val="none" w:sz="0" w:space="0" w:color="auto"/>
        <w:left w:val="none" w:sz="0" w:space="0" w:color="auto"/>
        <w:bottom w:val="none" w:sz="0" w:space="0" w:color="auto"/>
        <w:right w:val="none" w:sz="0" w:space="0" w:color="auto"/>
      </w:divBdr>
    </w:div>
    <w:div w:id="442656079">
      <w:bodyDiv w:val="1"/>
      <w:marLeft w:val="0"/>
      <w:marRight w:val="0"/>
      <w:marTop w:val="0"/>
      <w:marBottom w:val="0"/>
      <w:divBdr>
        <w:top w:val="none" w:sz="0" w:space="0" w:color="auto"/>
        <w:left w:val="none" w:sz="0" w:space="0" w:color="auto"/>
        <w:bottom w:val="none" w:sz="0" w:space="0" w:color="auto"/>
        <w:right w:val="none" w:sz="0" w:space="0" w:color="auto"/>
      </w:divBdr>
    </w:div>
    <w:div w:id="466975868">
      <w:bodyDiv w:val="1"/>
      <w:marLeft w:val="0"/>
      <w:marRight w:val="0"/>
      <w:marTop w:val="0"/>
      <w:marBottom w:val="0"/>
      <w:divBdr>
        <w:top w:val="none" w:sz="0" w:space="0" w:color="auto"/>
        <w:left w:val="none" w:sz="0" w:space="0" w:color="auto"/>
        <w:bottom w:val="none" w:sz="0" w:space="0" w:color="auto"/>
        <w:right w:val="none" w:sz="0" w:space="0" w:color="auto"/>
      </w:divBdr>
    </w:div>
    <w:div w:id="651565061">
      <w:bodyDiv w:val="1"/>
      <w:marLeft w:val="0"/>
      <w:marRight w:val="0"/>
      <w:marTop w:val="0"/>
      <w:marBottom w:val="0"/>
      <w:divBdr>
        <w:top w:val="none" w:sz="0" w:space="0" w:color="auto"/>
        <w:left w:val="none" w:sz="0" w:space="0" w:color="auto"/>
        <w:bottom w:val="none" w:sz="0" w:space="0" w:color="auto"/>
        <w:right w:val="none" w:sz="0" w:space="0" w:color="auto"/>
      </w:divBdr>
    </w:div>
    <w:div w:id="667710332">
      <w:bodyDiv w:val="1"/>
      <w:marLeft w:val="0"/>
      <w:marRight w:val="0"/>
      <w:marTop w:val="0"/>
      <w:marBottom w:val="0"/>
      <w:divBdr>
        <w:top w:val="none" w:sz="0" w:space="0" w:color="auto"/>
        <w:left w:val="none" w:sz="0" w:space="0" w:color="auto"/>
        <w:bottom w:val="none" w:sz="0" w:space="0" w:color="auto"/>
        <w:right w:val="none" w:sz="0" w:space="0" w:color="auto"/>
      </w:divBdr>
    </w:div>
    <w:div w:id="688680310">
      <w:bodyDiv w:val="1"/>
      <w:marLeft w:val="0"/>
      <w:marRight w:val="0"/>
      <w:marTop w:val="0"/>
      <w:marBottom w:val="0"/>
      <w:divBdr>
        <w:top w:val="none" w:sz="0" w:space="0" w:color="auto"/>
        <w:left w:val="none" w:sz="0" w:space="0" w:color="auto"/>
        <w:bottom w:val="none" w:sz="0" w:space="0" w:color="auto"/>
        <w:right w:val="none" w:sz="0" w:space="0" w:color="auto"/>
      </w:divBdr>
    </w:div>
    <w:div w:id="802651811">
      <w:bodyDiv w:val="1"/>
      <w:marLeft w:val="0"/>
      <w:marRight w:val="0"/>
      <w:marTop w:val="0"/>
      <w:marBottom w:val="0"/>
      <w:divBdr>
        <w:top w:val="none" w:sz="0" w:space="0" w:color="auto"/>
        <w:left w:val="none" w:sz="0" w:space="0" w:color="auto"/>
        <w:bottom w:val="none" w:sz="0" w:space="0" w:color="auto"/>
        <w:right w:val="none" w:sz="0" w:space="0" w:color="auto"/>
      </w:divBdr>
    </w:div>
    <w:div w:id="877350314">
      <w:bodyDiv w:val="1"/>
      <w:marLeft w:val="0"/>
      <w:marRight w:val="0"/>
      <w:marTop w:val="0"/>
      <w:marBottom w:val="0"/>
      <w:divBdr>
        <w:top w:val="none" w:sz="0" w:space="0" w:color="auto"/>
        <w:left w:val="none" w:sz="0" w:space="0" w:color="auto"/>
        <w:bottom w:val="none" w:sz="0" w:space="0" w:color="auto"/>
        <w:right w:val="none" w:sz="0" w:space="0" w:color="auto"/>
      </w:divBdr>
    </w:div>
    <w:div w:id="942112727">
      <w:bodyDiv w:val="1"/>
      <w:marLeft w:val="0"/>
      <w:marRight w:val="0"/>
      <w:marTop w:val="0"/>
      <w:marBottom w:val="0"/>
      <w:divBdr>
        <w:top w:val="none" w:sz="0" w:space="0" w:color="auto"/>
        <w:left w:val="none" w:sz="0" w:space="0" w:color="auto"/>
        <w:bottom w:val="none" w:sz="0" w:space="0" w:color="auto"/>
        <w:right w:val="none" w:sz="0" w:space="0" w:color="auto"/>
      </w:divBdr>
    </w:div>
    <w:div w:id="958074999">
      <w:bodyDiv w:val="1"/>
      <w:marLeft w:val="0"/>
      <w:marRight w:val="0"/>
      <w:marTop w:val="0"/>
      <w:marBottom w:val="0"/>
      <w:divBdr>
        <w:top w:val="none" w:sz="0" w:space="0" w:color="auto"/>
        <w:left w:val="none" w:sz="0" w:space="0" w:color="auto"/>
        <w:bottom w:val="none" w:sz="0" w:space="0" w:color="auto"/>
        <w:right w:val="none" w:sz="0" w:space="0" w:color="auto"/>
      </w:divBdr>
    </w:div>
    <w:div w:id="1007706075">
      <w:bodyDiv w:val="1"/>
      <w:marLeft w:val="0"/>
      <w:marRight w:val="0"/>
      <w:marTop w:val="0"/>
      <w:marBottom w:val="0"/>
      <w:divBdr>
        <w:top w:val="none" w:sz="0" w:space="0" w:color="auto"/>
        <w:left w:val="none" w:sz="0" w:space="0" w:color="auto"/>
        <w:bottom w:val="none" w:sz="0" w:space="0" w:color="auto"/>
        <w:right w:val="none" w:sz="0" w:space="0" w:color="auto"/>
      </w:divBdr>
    </w:div>
    <w:div w:id="1207179049">
      <w:bodyDiv w:val="1"/>
      <w:marLeft w:val="0"/>
      <w:marRight w:val="0"/>
      <w:marTop w:val="0"/>
      <w:marBottom w:val="0"/>
      <w:divBdr>
        <w:top w:val="none" w:sz="0" w:space="0" w:color="auto"/>
        <w:left w:val="none" w:sz="0" w:space="0" w:color="auto"/>
        <w:bottom w:val="none" w:sz="0" w:space="0" w:color="auto"/>
        <w:right w:val="none" w:sz="0" w:space="0" w:color="auto"/>
      </w:divBdr>
    </w:div>
    <w:div w:id="1327636274">
      <w:bodyDiv w:val="1"/>
      <w:marLeft w:val="0"/>
      <w:marRight w:val="0"/>
      <w:marTop w:val="0"/>
      <w:marBottom w:val="0"/>
      <w:divBdr>
        <w:top w:val="none" w:sz="0" w:space="0" w:color="auto"/>
        <w:left w:val="none" w:sz="0" w:space="0" w:color="auto"/>
        <w:bottom w:val="none" w:sz="0" w:space="0" w:color="auto"/>
        <w:right w:val="none" w:sz="0" w:space="0" w:color="auto"/>
      </w:divBdr>
    </w:div>
    <w:div w:id="1328553716">
      <w:bodyDiv w:val="1"/>
      <w:marLeft w:val="0"/>
      <w:marRight w:val="0"/>
      <w:marTop w:val="0"/>
      <w:marBottom w:val="0"/>
      <w:divBdr>
        <w:top w:val="none" w:sz="0" w:space="0" w:color="auto"/>
        <w:left w:val="none" w:sz="0" w:space="0" w:color="auto"/>
        <w:bottom w:val="none" w:sz="0" w:space="0" w:color="auto"/>
        <w:right w:val="none" w:sz="0" w:space="0" w:color="auto"/>
      </w:divBdr>
      <w:divsChild>
        <w:div w:id="236408296">
          <w:marLeft w:val="0"/>
          <w:marRight w:val="0"/>
          <w:marTop w:val="0"/>
          <w:marBottom w:val="0"/>
          <w:divBdr>
            <w:top w:val="none" w:sz="0" w:space="0" w:color="auto"/>
            <w:left w:val="none" w:sz="0" w:space="0" w:color="auto"/>
            <w:bottom w:val="none" w:sz="0" w:space="0" w:color="auto"/>
            <w:right w:val="none" w:sz="0" w:space="0" w:color="auto"/>
          </w:divBdr>
          <w:divsChild>
            <w:div w:id="211027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581658">
      <w:bodyDiv w:val="1"/>
      <w:marLeft w:val="0"/>
      <w:marRight w:val="0"/>
      <w:marTop w:val="0"/>
      <w:marBottom w:val="0"/>
      <w:divBdr>
        <w:top w:val="none" w:sz="0" w:space="0" w:color="auto"/>
        <w:left w:val="none" w:sz="0" w:space="0" w:color="auto"/>
        <w:bottom w:val="none" w:sz="0" w:space="0" w:color="auto"/>
        <w:right w:val="none" w:sz="0" w:space="0" w:color="auto"/>
      </w:divBdr>
    </w:div>
    <w:div w:id="1940872559">
      <w:bodyDiv w:val="1"/>
      <w:marLeft w:val="0"/>
      <w:marRight w:val="0"/>
      <w:marTop w:val="0"/>
      <w:marBottom w:val="0"/>
      <w:divBdr>
        <w:top w:val="none" w:sz="0" w:space="0" w:color="auto"/>
        <w:left w:val="none" w:sz="0" w:space="0" w:color="auto"/>
        <w:bottom w:val="none" w:sz="0" w:space="0" w:color="auto"/>
        <w:right w:val="none" w:sz="0" w:space="0" w:color="auto"/>
      </w:divBdr>
      <w:divsChild>
        <w:div w:id="1871995203">
          <w:marLeft w:val="0"/>
          <w:marRight w:val="0"/>
          <w:marTop w:val="0"/>
          <w:marBottom w:val="0"/>
          <w:divBdr>
            <w:top w:val="none" w:sz="0" w:space="0" w:color="auto"/>
            <w:left w:val="none" w:sz="0" w:space="0" w:color="auto"/>
            <w:bottom w:val="none" w:sz="0" w:space="0" w:color="auto"/>
            <w:right w:val="none" w:sz="0" w:space="0" w:color="auto"/>
          </w:divBdr>
          <w:divsChild>
            <w:div w:id="1952859384">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ulsterbank.co.uk/" TargetMode="External"/><Relationship Id="rId18" Type="http://schemas.openxmlformats.org/officeDocument/2006/relationships/hyperlink" Target="https://www.citigroup.com/global" TargetMode="External"/><Relationship Id="rId26" Type="http://schemas.openxmlformats.org/officeDocument/2006/relationships/hyperlink" Target="https://www.accesstocash.org.uk/" TargetMode="External"/><Relationship Id="rId39" Type="http://schemas.openxmlformats.org/officeDocument/2006/relationships/hyperlink" Target="https://www.aflacni.com/" TargetMode="External"/><Relationship Id="rId3" Type="http://schemas.openxmlformats.org/officeDocument/2006/relationships/styles" Target="styles.xml"/><Relationship Id="rId21" Type="http://schemas.openxmlformats.org/officeDocument/2006/relationships/hyperlink" Target="https://www.consumercouncil.org.uk/research/access-banking-services-northern-ireland" TargetMode="External"/><Relationship Id="rId34" Type="http://schemas.openxmlformats.org/officeDocument/2006/relationships/hyperlink" Target="https://www.creditunion.ie/what-we-offer/savings/nomination-of-your-account/" TargetMode="External"/><Relationship Id="rId42" Type="http://schemas.openxmlformats.org/officeDocument/2006/relationships/hyperlink" Target="https://www.cmegroup.com/company/history/global-offices.html" TargetMode="External"/><Relationship Id="rId47" Type="http://schemas.openxmlformats.org/officeDocument/2006/relationships/hyperlink" Target="https://www.ocorian.com/location/united-kingdom" TargetMode="Externa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legislation.gov.uk/ukpga/2023/29/contents/enacted" TargetMode="External"/><Relationship Id="rId17" Type="http://schemas.openxmlformats.org/officeDocument/2006/relationships/hyperlink" Target="https://www.halifax.co.uk/" TargetMode="External"/><Relationship Id="rId25" Type="http://schemas.openxmlformats.org/officeDocument/2006/relationships/image" Target="media/image6.png"/><Relationship Id="rId33" Type="http://schemas.openxmlformats.org/officeDocument/2006/relationships/hyperlink" Target="https://www.bankofirelanduk.com/online-banking/banking-hubs/" TargetMode="External"/><Relationship Id="rId38" Type="http://schemas.openxmlformats.org/officeDocument/2006/relationships/hyperlink" Target="https://www.legislation.gov.uk/ukpga/2023/29/contents/enacted" TargetMode="External"/><Relationship Id="rId46" Type="http://schemas.openxmlformats.org/officeDocument/2006/relationships/hyperlink" Target="https://www.lloydsbankinggroup.com/who-we-are/our-strategy/constituency-factsheets/northern-ireland-constituency-factsheets.html" TargetMode="External"/><Relationship Id="rId2" Type="http://schemas.openxmlformats.org/officeDocument/2006/relationships/numbering" Target="numbering.xml"/><Relationship Id="rId16" Type="http://schemas.openxmlformats.org/officeDocument/2006/relationships/hyperlink" Target="https://aibni.co.uk/" TargetMode="External"/><Relationship Id="rId20" Type="http://schemas.openxmlformats.org/officeDocument/2006/relationships/image" Target="media/image2.png"/><Relationship Id="rId29" Type="http://schemas.openxmlformats.org/officeDocument/2006/relationships/image" Target="media/image7.png"/><Relationship Id="rId41" Type="http://schemas.openxmlformats.org/officeDocument/2006/relationships/hyperlink" Target="https://jobs.citi.com/belfas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5.png"/><Relationship Id="rId32" Type="http://schemas.openxmlformats.org/officeDocument/2006/relationships/hyperlink" Target="https://www.cashaccess.co.uk/" TargetMode="External"/><Relationship Id="rId37" Type="http://schemas.openxmlformats.org/officeDocument/2006/relationships/hyperlink" Target="https://www.ageuk.org.uk/globalassets/age-uk/documents/reports-and-publications/reports-and-briefings/money-matters/the-impact-of-the-rise-of-online-banking-on-older-people-may-2023.pdf" TargetMode="External"/><Relationship Id="rId40" Type="http://schemas.openxmlformats.org/officeDocument/2006/relationships/hyperlink" Target="https://www.allstateni.com/" TargetMode="External"/><Relationship Id="rId45" Type="http://schemas.openxmlformats.org/officeDocument/2006/relationships/hyperlink" Target="https://fdtechnologies.com/" TargetMode="External"/><Relationship Id="rId5" Type="http://schemas.openxmlformats.org/officeDocument/2006/relationships/webSettings" Target="webSettings.xml"/><Relationship Id="rId15" Type="http://schemas.openxmlformats.org/officeDocument/2006/relationships/hyperlink" Target="https://www.bankofireland.com/" TargetMode="External"/><Relationship Id="rId23" Type="http://schemas.openxmlformats.org/officeDocument/2006/relationships/image" Target="media/image4.png"/><Relationship Id="rId28" Type="http://schemas.openxmlformats.org/officeDocument/2006/relationships/hyperlink" Target="https://www.consumercouncil.org.uk/research/access-banking-services-northern-ireland" TargetMode="External"/><Relationship Id="rId36" Type="http://schemas.openxmlformats.org/officeDocument/2006/relationships/hyperlink" Target="https://www.northernmutual.co.uk/" TargetMode="External"/><Relationship Id="rId49"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s://www.santander.co.uk/" TargetMode="External"/><Relationship Id="rId31" Type="http://schemas.openxmlformats.org/officeDocument/2006/relationships/hyperlink" Target="https://www.legislation.gov.uk/ukpga/2023/29/contents/enacted" TargetMode="External"/><Relationship Id="rId44" Type="http://schemas.openxmlformats.org/officeDocument/2006/relationships/hyperlink" Target="https://www.fintru.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danskebank.co.uk/personal" TargetMode="External"/><Relationship Id="rId22" Type="http://schemas.openxmlformats.org/officeDocument/2006/relationships/image" Target="media/image3.png"/><Relationship Id="rId27" Type="http://schemas.openxmlformats.org/officeDocument/2006/relationships/hyperlink" Target="https://www.link.co.uk/" TargetMode="External"/><Relationship Id="rId30" Type="http://schemas.openxmlformats.org/officeDocument/2006/relationships/image" Target="media/image8.png"/><Relationship Id="rId35" Type="http://schemas.openxmlformats.org/officeDocument/2006/relationships/hyperlink" Target="https://www.csba.co.uk/" TargetMode="External"/><Relationship Id="rId43" Type="http://schemas.openxmlformats.org/officeDocument/2006/relationships/hyperlink" Target="https://danskebank.com/" TargetMode="External"/><Relationship Id="rId48" Type="http://schemas.openxmlformats.org/officeDocument/2006/relationships/hyperlink" Target="https://www.tsys.com/" TargetMode="External"/><Relationship Id="rId8"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hyperlink" Target="https://www.fca.org.uk/publications/data/access-cash-coverage-uk-2023-q2" TargetMode="External"/><Relationship Id="rId13" Type="http://schemas.openxmlformats.org/officeDocument/2006/relationships/hyperlink" Target="https://www.accesstocash.org.uk/" TargetMode="External"/><Relationship Id="rId18" Type="http://schemas.openxmlformats.org/officeDocument/2006/relationships/hyperlink" Target="https://www.fca.org.uk/publication/policy/ps24-8.pdf" TargetMode="External"/><Relationship Id="rId26" Type="http://schemas.openxmlformats.org/officeDocument/2006/relationships/hyperlink" Target="https://www.fca.org.uk/publications/research-notes/empirical-analysis-characteristics-associated-cash-reliance-uk" TargetMode="External"/><Relationship Id="rId3" Type="http://schemas.openxmlformats.org/officeDocument/2006/relationships/hyperlink" Target="https://www.economy-ni.gov.uk/publications/mapping-northern-irelands-financial-services-sector" TargetMode="External"/><Relationship Id="rId21" Type="http://schemas.openxmlformats.org/officeDocument/2006/relationships/hyperlink" Target="https://www.cashaccess.co.uk/about-us/how-to-apply/" TargetMode="External"/><Relationship Id="rId7" Type="http://schemas.openxmlformats.org/officeDocument/2006/relationships/hyperlink" Target="https://www.fca.org.uk/publications/data/access-cash-coverage-uk-2023-q2" TargetMode="External"/><Relationship Id="rId12" Type="http://schemas.openxmlformats.org/officeDocument/2006/relationships/hyperlink" Target="https://commonslibrary.parliament.uk/research-briefings/cbp-9453/" TargetMode="External"/><Relationship Id="rId17" Type="http://schemas.openxmlformats.org/officeDocument/2006/relationships/hyperlink" Target="https://commonslibrary.parliament.uk/research-briefings/sn02585/" TargetMode="External"/><Relationship Id="rId25" Type="http://schemas.openxmlformats.org/officeDocument/2006/relationships/hyperlink" Target="https://www.csba.co.uk/region/nothern-ireland/" TargetMode="External"/><Relationship Id="rId2" Type="http://schemas.openxmlformats.org/officeDocument/2006/relationships/hyperlink" Target="https://www.economy-ni.gov.uk/publications/mapping-northern-irelands-financial-services-sector" TargetMode="External"/><Relationship Id="rId16" Type="http://schemas.openxmlformats.org/officeDocument/2006/relationships/hyperlink" Target="https://www.consumercouncil.org.uk/research/access-banking-services-northern-ireland" TargetMode="External"/><Relationship Id="rId20" Type="http://schemas.openxmlformats.org/officeDocument/2006/relationships/hyperlink" Target="https://www.cashaccess.co.uk/about-us/what-we-do/" TargetMode="External"/><Relationship Id="rId29" Type="http://schemas.openxmlformats.org/officeDocument/2006/relationships/hyperlink" Target="https://www.investni.com/international-business/our-sectors/financial-services" TargetMode="External"/><Relationship Id="rId1" Type="http://schemas.openxmlformats.org/officeDocument/2006/relationships/hyperlink" Target="https://www.youtube.com/watch?v=quiP50KwwF8&amp;list=PL5lnNfzfEzh4SLOLMAxhX-LwnWygY5dxS&amp;index=2" TargetMode="External"/><Relationship Id="rId6" Type="http://schemas.openxmlformats.org/officeDocument/2006/relationships/hyperlink" Target="https://www.consumercouncil.org.uk/research/access-banking-services-northern-ireland" TargetMode="External"/><Relationship Id="rId11" Type="http://schemas.openxmlformats.org/officeDocument/2006/relationships/hyperlink" Target="https://www.ft.com/content/4197b85a-d4a1-469b-9d7f-aa424363d506" TargetMode="External"/><Relationship Id="rId24" Type="http://schemas.openxmlformats.org/officeDocument/2006/relationships/hyperlink" Target="https://www.nicva.org/article/a-regional-mutual-bank-for-northern-ireland-webinar" TargetMode="External"/><Relationship Id="rId5" Type="http://schemas.openxmlformats.org/officeDocument/2006/relationships/hyperlink" Target="https://www.economy-ni.gov.uk/publications/mapping-northern-irelands-financial-services-sector" TargetMode="External"/><Relationship Id="rId15" Type="http://schemas.openxmlformats.org/officeDocument/2006/relationships/hyperlink" Target="https://www.bankofengland.co.uk/paper/2021/update-on-the-future-of-wholesale-cash-distribution-in-the-uk" TargetMode="External"/><Relationship Id="rId23" Type="http://schemas.openxmlformats.org/officeDocument/2006/relationships/hyperlink" Target="https://cles.org.uk/what-is-community-wealth-building/the-principles-of-community-wealth-building/making-financial-power-work-for-local-places/mutuals-and-community-banks/" TargetMode="External"/><Relationship Id="rId28" Type="http://schemas.openxmlformats.org/officeDocument/2006/relationships/hyperlink" Target="https://www.investni.com/international-business/our-sectors/financial-services" TargetMode="External"/><Relationship Id="rId10" Type="http://schemas.openxmlformats.org/officeDocument/2006/relationships/hyperlink" Target="https://www.bankofengland.co.uk/paper/2021/update-on-the-future-of-wholesale-cash-distribution-in-the-uk" TargetMode="External"/><Relationship Id="rId19" Type="http://schemas.openxmlformats.org/officeDocument/2006/relationships/hyperlink" Target="https://www.gov.uk/government/publications/cash-access-policy-statement/cash-access-policy-statement" TargetMode="External"/><Relationship Id="rId4" Type="http://schemas.openxmlformats.org/officeDocument/2006/relationships/hyperlink" Target="https://www.economy-ni.gov.uk/publications/mapping-northern-irelands-financial-services-sector" TargetMode="External"/><Relationship Id="rId9" Type="http://schemas.openxmlformats.org/officeDocument/2006/relationships/hyperlink" Target="https://www.fca.org.uk/publications/data/access-cash-coverage-uk-2023-q2" TargetMode="External"/><Relationship Id="rId14" Type="http://schemas.openxmlformats.org/officeDocument/2006/relationships/hyperlink" Target="https://www.bankofengland.co.uk/paper/2021/update-on-the-future-of-wholesale-cash-distribution-in-the-uk" TargetMode="External"/><Relationship Id="rId22" Type="http://schemas.openxmlformats.org/officeDocument/2006/relationships/hyperlink" Target="https://www.link.co.uk/news/link-announces-15-new-banking-hubs-as-new-access-to-cash-regulations-come-into-effect" TargetMode="External"/><Relationship Id="rId27" Type="http://schemas.openxmlformats.org/officeDocument/2006/relationships/hyperlink" Target="https://www.ageuk.org.uk/our-impact/policy-research/publications/reports-and-briefing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urrane\Desktop\Projects\1.%20To%20go%20on%20Soundcloud\New%20folder%20(2)\frost\Research%20Templates\Research%20Pap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10805D-1226-424C-AC93-B643BC1DD6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Research Paper.dotx</Template>
  <TotalTime>3</TotalTime>
  <Pages>33</Pages>
  <Words>6671</Words>
  <Characters>38342</Characters>
  <Application>Microsoft Office Word</Application>
  <DocSecurity>0</DocSecurity>
  <Lines>319</Lines>
  <Paragraphs>89</Paragraphs>
  <ScaleCrop>false</ScaleCrop>
  <HeadingPairs>
    <vt:vector size="2" baseType="variant">
      <vt:variant>
        <vt:lpstr>Title</vt:lpstr>
      </vt:variant>
      <vt:variant>
        <vt:i4>1</vt:i4>
      </vt:variant>
    </vt:vector>
  </HeadingPairs>
  <TitlesOfParts>
    <vt:vector size="1" baseType="lpstr">
      <vt:lpstr>Assembly Research and Information Service Briefing Paper - [insert title of paper]</vt:lpstr>
    </vt:vector>
  </TitlesOfParts>
  <Company>Northern Ireland Assembly</Company>
  <LinksUpToDate>false</LinksUpToDate>
  <CharactersWithSpaces>44924</CharactersWithSpaces>
  <SharedDoc>false</SharedDoc>
  <HLinks>
    <vt:vector size="18" baseType="variant">
      <vt:variant>
        <vt:i4>1245236</vt:i4>
      </vt:variant>
      <vt:variant>
        <vt:i4>14</vt:i4>
      </vt:variant>
      <vt:variant>
        <vt:i4>0</vt:i4>
      </vt:variant>
      <vt:variant>
        <vt:i4>5</vt:i4>
      </vt:variant>
      <vt:variant>
        <vt:lpwstr/>
      </vt:variant>
      <vt:variant>
        <vt:lpwstr>_Toc260053310</vt:lpwstr>
      </vt:variant>
      <vt:variant>
        <vt:i4>1179700</vt:i4>
      </vt:variant>
      <vt:variant>
        <vt:i4>8</vt:i4>
      </vt:variant>
      <vt:variant>
        <vt:i4>0</vt:i4>
      </vt:variant>
      <vt:variant>
        <vt:i4>5</vt:i4>
      </vt:variant>
      <vt:variant>
        <vt:lpwstr/>
      </vt:variant>
      <vt:variant>
        <vt:lpwstr>_Toc260053308</vt:lpwstr>
      </vt:variant>
      <vt:variant>
        <vt:i4>1179700</vt:i4>
      </vt:variant>
      <vt:variant>
        <vt:i4>2</vt:i4>
      </vt:variant>
      <vt:variant>
        <vt:i4>0</vt:i4>
      </vt:variant>
      <vt:variant>
        <vt:i4>5</vt:i4>
      </vt:variant>
      <vt:variant>
        <vt:lpwstr/>
      </vt:variant>
      <vt:variant>
        <vt:lpwstr>_Toc260053307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Assembly Research and Information Service Briefing Paper - [insert title of paper]</dc:title>
  <dc:subject/>
  <dc:creator>currane</dc:creator>
  <cp:keywords/>
  <dc:description/>
  <cp:lastModifiedBy>scholesm</cp:lastModifiedBy>
  <cp:revision>3</cp:revision>
  <cp:lastPrinted>2021-10-21T13:45:00Z</cp:lastPrinted>
  <dcterms:created xsi:type="dcterms:W3CDTF">2024-10-04T11:21:00Z</dcterms:created>
  <dcterms:modified xsi:type="dcterms:W3CDTF">2024-10-04T11:56:00Z</dcterms:modified>
</cp:coreProperties>
</file>