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0C1" w:rsidRDefault="00A240C1" w:rsidP="00A240C1">
      <w:pPr>
        <w:rPr>
          <w:rFonts w:ascii="Arial" w:hAnsi="Arial" w:cs="Arial"/>
          <w:b/>
        </w:rPr>
      </w:pPr>
      <w:r>
        <w:rPr>
          <w:noProof/>
          <w:lang w:eastAsia="en-GB"/>
        </w:rPr>
        <w:drawing>
          <wp:anchor distT="0" distB="0" distL="114300" distR="114300" simplePos="0" relativeHeight="251661312" behindDoc="0" locked="0" layoutInCell="0" allowOverlap="1" wp14:anchorId="44AA83B7" wp14:editId="5C8BDC58">
            <wp:simplePos x="0" y="0"/>
            <wp:positionH relativeFrom="column">
              <wp:posOffset>2077720</wp:posOffset>
            </wp:positionH>
            <wp:positionV relativeFrom="paragraph">
              <wp:posOffset>-63500</wp:posOffset>
            </wp:positionV>
            <wp:extent cx="1409700" cy="923925"/>
            <wp:effectExtent l="0" t="0" r="0" b="9525"/>
            <wp:wrapTopAndBottom/>
            <wp:docPr id="1" name="Picture 1" descr="Description: assembl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ssemblylogo[1]"/>
                    <pic:cNvPicPr>
                      <a:picLocks noChangeAspect="1" noChangeArrowheads="1"/>
                    </pic:cNvPicPr>
                  </pic:nvPicPr>
                  <pic:blipFill>
                    <a:blip r:embed="rId8" cstate="print"/>
                    <a:srcRect/>
                    <a:stretch>
                      <a:fillRect/>
                    </a:stretch>
                  </pic:blipFill>
                  <pic:spPr bwMode="auto">
                    <a:xfrm>
                      <a:off x="0" y="0"/>
                      <a:ext cx="1409700" cy="923925"/>
                    </a:xfrm>
                    <a:prstGeom prst="rect">
                      <a:avLst/>
                    </a:prstGeom>
                    <a:noFill/>
                    <a:ln w="9525">
                      <a:noFill/>
                      <a:miter lim="800000"/>
                      <a:headEnd/>
                      <a:tailEnd/>
                    </a:ln>
                  </pic:spPr>
                </pic:pic>
              </a:graphicData>
            </a:graphic>
          </wp:anchor>
        </w:drawing>
      </w:r>
    </w:p>
    <w:p w:rsidR="00A240C1" w:rsidRDefault="00A240C1" w:rsidP="00A240C1">
      <w:pPr>
        <w:jc w:val="center"/>
        <w:rPr>
          <w:rFonts w:ascii="Arial" w:hAnsi="Arial" w:cs="Arial"/>
          <w:b/>
        </w:rPr>
      </w:pPr>
      <w:r w:rsidRPr="00321192">
        <w:rPr>
          <w:rFonts w:ascii="Arial" w:hAnsi="Arial" w:cs="Arial"/>
          <w:b/>
        </w:rPr>
        <w:t>Northern Ireland</w:t>
      </w:r>
      <w:r>
        <w:t xml:space="preserve"> </w:t>
      </w:r>
      <w:r>
        <w:rPr>
          <w:rFonts w:ascii="Arial" w:hAnsi="Arial" w:cs="Arial"/>
          <w:b/>
        </w:rPr>
        <w:t>Assembly</w:t>
      </w:r>
    </w:p>
    <w:p w:rsidR="00A240C1" w:rsidRDefault="00A240C1" w:rsidP="00A240C1">
      <w:pPr>
        <w:jc w:val="center"/>
        <w:rPr>
          <w:rFonts w:ascii="Arial" w:hAnsi="Arial" w:cs="Arial"/>
          <w:b/>
        </w:rPr>
      </w:pPr>
    </w:p>
    <w:p w:rsidR="00A240C1" w:rsidRPr="00A240C1" w:rsidRDefault="00A240C1" w:rsidP="00A240C1">
      <w:pPr>
        <w:jc w:val="center"/>
        <w:rPr>
          <w:rFonts w:ascii="Arial" w:hAnsi="Arial" w:cs="Arial"/>
          <w:b/>
        </w:rPr>
      </w:pPr>
      <w:r>
        <w:rPr>
          <w:rFonts w:ascii="Arial" w:hAnsi="Arial" w:cs="Arial"/>
          <w:b/>
        </w:rPr>
        <w:t>Assembly and Executive Review Committee</w:t>
      </w:r>
    </w:p>
    <w:p w:rsidR="00A240C1" w:rsidRDefault="00A240C1" w:rsidP="00A240C1">
      <w:pPr>
        <w:jc w:val="center"/>
        <w:rPr>
          <w:rFonts w:ascii="Arial" w:hAnsi="Arial" w:cs="Arial"/>
          <w:b/>
        </w:rPr>
      </w:pPr>
    </w:p>
    <w:tbl>
      <w:tblPr>
        <w:tblpPr w:leftFromText="180" w:rightFromText="180" w:vertAnchor="page" w:horzAnchor="margin" w:tblpXSpec="center" w:tblpY="426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1984"/>
      </w:tblGrid>
      <w:tr w:rsidR="00A240C1" w:rsidRPr="00321192" w:rsidTr="00A240C1">
        <w:trPr>
          <w:trHeight w:val="698"/>
        </w:trPr>
        <w:tc>
          <w:tcPr>
            <w:tcW w:w="10314" w:type="dxa"/>
            <w:gridSpan w:val="2"/>
            <w:tcBorders>
              <w:bottom w:val="single" w:sz="4" w:space="0" w:color="auto"/>
            </w:tcBorders>
            <w:shd w:val="clear" w:color="auto" w:fill="DBE5F1"/>
          </w:tcPr>
          <w:p w:rsidR="00A240C1" w:rsidRPr="00321192" w:rsidRDefault="00A240C1" w:rsidP="00440055">
            <w:pPr>
              <w:rPr>
                <w:rFonts w:ascii="Arial" w:hAnsi="Arial" w:cs="Arial"/>
              </w:rPr>
            </w:pPr>
          </w:p>
          <w:p w:rsidR="00A240C1" w:rsidRDefault="00A240C1" w:rsidP="00440055">
            <w:pPr>
              <w:jc w:val="center"/>
              <w:rPr>
                <w:rFonts w:ascii="Arial" w:hAnsi="Arial" w:cs="Arial"/>
                <w:b/>
                <w:u w:val="single"/>
              </w:rPr>
            </w:pPr>
            <w:r>
              <w:rPr>
                <w:rFonts w:ascii="Arial" w:hAnsi="Arial" w:cs="Arial"/>
                <w:b/>
                <w:u w:val="single"/>
              </w:rPr>
              <w:t xml:space="preserve">Stakeholder Call for Evidence on Assembly and Executive Reform (Assembly Opposition) Bill </w:t>
            </w:r>
          </w:p>
          <w:p w:rsidR="00A240C1" w:rsidRPr="00321192" w:rsidRDefault="00A240C1" w:rsidP="00440055">
            <w:pPr>
              <w:jc w:val="center"/>
              <w:rPr>
                <w:rFonts w:ascii="Arial" w:hAnsi="Arial" w:cs="Arial"/>
                <w:b/>
                <w:u w:val="single"/>
              </w:rPr>
            </w:pPr>
          </w:p>
        </w:tc>
      </w:tr>
      <w:tr w:rsidR="00A240C1" w:rsidRPr="00321192" w:rsidTr="00A240C1">
        <w:trPr>
          <w:trHeight w:val="77"/>
        </w:trPr>
        <w:tc>
          <w:tcPr>
            <w:tcW w:w="10314" w:type="dxa"/>
            <w:gridSpan w:val="2"/>
            <w:tcBorders>
              <w:bottom w:val="single" w:sz="4" w:space="0" w:color="auto"/>
            </w:tcBorders>
            <w:shd w:val="clear" w:color="auto" w:fill="DBE5F1"/>
          </w:tcPr>
          <w:p w:rsidR="00A240C1" w:rsidRDefault="00A240C1" w:rsidP="00A240C1">
            <w:pPr>
              <w:jc w:val="center"/>
              <w:rPr>
                <w:rFonts w:ascii="Arial" w:hAnsi="Arial" w:cs="Arial"/>
                <w:b/>
                <w:u w:val="single"/>
              </w:rPr>
            </w:pPr>
            <w:r w:rsidRPr="00321192">
              <w:rPr>
                <w:rFonts w:ascii="Arial" w:hAnsi="Arial" w:cs="Arial"/>
                <w:b/>
                <w:u w:val="single"/>
              </w:rPr>
              <w:t>Contents</w:t>
            </w:r>
          </w:p>
          <w:p w:rsidR="00A240C1" w:rsidRPr="00321192" w:rsidRDefault="00A240C1" w:rsidP="00A240C1">
            <w:pPr>
              <w:jc w:val="center"/>
              <w:rPr>
                <w:rFonts w:ascii="Arial" w:hAnsi="Arial" w:cs="Arial"/>
                <w:b/>
                <w:u w:val="single"/>
              </w:rPr>
            </w:pPr>
          </w:p>
        </w:tc>
      </w:tr>
      <w:tr w:rsidR="00A240C1" w:rsidRPr="00321192" w:rsidTr="00440055">
        <w:trPr>
          <w:trHeight w:val="1318"/>
        </w:trPr>
        <w:tc>
          <w:tcPr>
            <w:tcW w:w="8330" w:type="dxa"/>
            <w:tcBorders>
              <w:bottom w:val="single" w:sz="4" w:space="0" w:color="auto"/>
            </w:tcBorders>
            <w:shd w:val="clear" w:color="auto" w:fill="EAF1DD"/>
          </w:tcPr>
          <w:p w:rsidR="00A240C1" w:rsidRDefault="00A240C1" w:rsidP="00A240C1">
            <w:pPr>
              <w:tabs>
                <w:tab w:val="left" w:pos="9210"/>
              </w:tabs>
              <w:ind w:left="9214" w:hanging="8755"/>
              <w:rPr>
                <w:rFonts w:ascii="Arial" w:hAnsi="Arial" w:cs="Arial"/>
                <w:b/>
                <w:color w:val="000000"/>
                <w:lang w:eastAsia="en-GB"/>
              </w:rPr>
            </w:pPr>
            <w:r w:rsidRPr="00321192">
              <w:rPr>
                <w:rFonts w:ascii="Arial" w:hAnsi="Arial" w:cs="Arial"/>
                <w:b/>
                <w:color w:val="000000"/>
                <w:lang w:eastAsia="en-GB"/>
              </w:rPr>
              <w:tab/>
            </w:r>
          </w:p>
          <w:p w:rsidR="00A240C1" w:rsidRPr="00321192" w:rsidRDefault="00A240C1" w:rsidP="00A240C1">
            <w:pPr>
              <w:ind w:left="459"/>
              <w:rPr>
                <w:rFonts w:ascii="Arial" w:hAnsi="Arial" w:cs="Arial"/>
                <w:b/>
                <w:color w:val="000000"/>
                <w:lang w:eastAsia="en-GB"/>
              </w:rPr>
            </w:pPr>
            <w:r w:rsidRPr="00321192">
              <w:rPr>
                <w:rFonts w:ascii="Arial" w:hAnsi="Arial" w:cs="Arial"/>
                <w:b/>
                <w:color w:val="000000"/>
                <w:lang w:eastAsia="en-GB"/>
              </w:rPr>
              <w:t>Section 1: Stakeholder Details</w:t>
            </w:r>
            <w:r>
              <w:rPr>
                <w:rFonts w:ascii="Arial" w:hAnsi="Arial" w:cs="Arial"/>
                <w:b/>
                <w:color w:val="000000"/>
                <w:lang w:eastAsia="en-GB"/>
              </w:rPr>
              <w:t xml:space="preserve"> and Guidelines for Completion of Submissions</w:t>
            </w:r>
          </w:p>
          <w:p w:rsidR="00A240C1" w:rsidRDefault="00A240C1" w:rsidP="00A240C1">
            <w:pPr>
              <w:tabs>
                <w:tab w:val="left" w:pos="7995"/>
              </w:tabs>
              <w:ind w:left="459"/>
              <w:rPr>
                <w:rFonts w:ascii="Arial" w:hAnsi="Arial" w:cs="Arial"/>
                <w:b/>
                <w:color w:val="000000"/>
                <w:lang w:eastAsia="en-GB"/>
              </w:rPr>
            </w:pPr>
          </w:p>
          <w:p w:rsidR="00A240C1" w:rsidRPr="00321192" w:rsidRDefault="00A240C1" w:rsidP="00A240C1">
            <w:pPr>
              <w:tabs>
                <w:tab w:val="left" w:pos="7995"/>
              </w:tabs>
              <w:ind w:left="459"/>
              <w:rPr>
                <w:rFonts w:ascii="Arial" w:hAnsi="Arial" w:cs="Arial"/>
                <w:b/>
                <w:color w:val="000000"/>
                <w:lang w:eastAsia="en-GB"/>
              </w:rPr>
            </w:pPr>
            <w:r w:rsidRPr="00321192">
              <w:rPr>
                <w:rFonts w:ascii="Arial" w:hAnsi="Arial" w:cs="Arial"/>
                <w:b/>
                <w:color w:val="000000"/>
                <w:lang w:eastAsia="en-GB"/>
              </w:rPr>
              <w:t>Section 2: Introduction</w:t>
            </w:r>
            <w:r w:rsidRPr="00321192">
              <w:rPr>
                <w:rFonts w:ascii="Arial" w:hAnsi="Arial" w:cs="Arial"/>
                <w:b/>
                <w:color w:val="000000"/>
                <w:lang w:eastAsia="en-GB"/>
              </w:rPr>
              <w:tab/>
            </w:r>
          </w:p>
          <w:p w:rsidR="00A240C1" w:rsidRPr="00A240C1" w:rsidRDefault="00A240C1" w:rsidP="00A240C1">
            <w:pPr>
              <w:numPr>
                <w:ilvl w:val="0"/>
                <w:numId w:val="1"/>
              </w:numPr>
              <w:contextualSpacing/>
              <w:rPr>
                <w:rFonts w:ascii="Arial" w:hAnsi="Arial" w:cs="Arial"/>
                <w:b/>
                <w:color w:val="000000"/>
                <w:lang w:eastAsia="en-GB"/>
              </w:rPr>
            </w:pPr>
            <w:r w:rsidRPr="00321192">
              <w:rPr>
                <w:rFonts w:ascii="Arial" w:hAnsi="Arial" w:cs="Arial"/>
                <w:color w:val="000000"/>
                <w:lang w:eastAsia="en-GB"/>
              </w:rPr>
              <w:t>Assembly a</w:t>
            </w:r>
            <w:r>
              <w:rPr>
                <w:rFonts w:ascii="Arial" w:hAnsi="Arial" w:cs="Arial"/>
                <w:color w:val="000000"/>
                <w:lang w:eastAsia="en-GB"/>
              </w:rPr>
              <w:t>nd Executive Review Committee</w:t>
            </w:r>
            <w:r>
              <w:rPr>
                <w:rFonts w:ascii="Arial" w:hAnsi="Arial" w:cs="Arial"/>
                <w:b/>
                <w:color w:val="000000"/>
                <w:lang w:eastAsia="en-GB"/>
              </w:rPr>
              <w:t xml:space="preserve"> - </w:t>
            </w:r>
            <w:r w:rsidRPr="00A240C1">
              <w:rPr>
                <w:rFonts w:ascii="Arial" w:hAnsi="Arial" w:cs="Arial"/>
                <w:color w:val="000000"/>
                <w:lang w:eastAsia="en-GB"/>
              </w:rPr>
              <w:t>Powers</w:t>
            </w:r>
          </w:p>
          <w:p w:rsidR="00A240C1" w:rsidRPr="00A240C1" w:rsidRDefault="00A240C1" w:rsidP="00A240C1">
            <w:pPr>
              <w:numPr>
                <w:ilvl w:val="0"/>
                <w:numId w:val="1"/>
              </w:numPr>
              <w:contextualSpacing/>
              <w:rPr>
                <w:rFonts w:ascii="Arial" w:hAnsi="Arial" w:cs="Arial"/>
                <w:b/>
                <w:color w:val="000000"/>
                <w:lang w:eastAsia="en-GB"/>
              </w:rPr>
            </w:pPr>
            <w:r>
              <w:rPr>
                <w:rFonts w:ascii="Arial" w:hAnsi="Arial" w:cs="Arial"/>
                <w:color w:val="000000"/>
                <w:lang w:eastAsia="en-GB"/>
              </w:rPr>
              <w:t>Committee Stage</w:t>
            </w:r>
          </w:p>
          <w:p w:rsidR="00A240C1" w:rsidRDefault="00A240C1" w:rsidP="00A240C1">
            <w:pPr>
              <w:ind w:firstLine="459"/>
              <w:rPr>
                <w:rFonts w:ascii="Arial" w:hAnsi="Arial" w:cs="Arial"/>
                <w:b/>
                <w:color w:val="000000"/>
                <w:lang w:eastAsia="en-GB"/>
              </w:rPr>
            </w:pPr>
          </w:p>
          <w:p w:rsidR="00A360E8" w:rsidRDefault="00A360E8" w:rsidP="00A240C1">
            <w:pPr>
              <w:ind w:firstLine="459"/>
              <w:rPr>
                <w:rFonts w:ascii="Arial" w:hAnsi="Arial" w:cs="Arial"/>
                <w:b/>
                <w:color w:val="000000"/>
                <w:lang w:eastAsia="en-GB"/>
              </w:rPr>
            </w:pPr>
          </w:p>
          <w:p w:rsidR="00A240C1" w:rsidRDefault="00A240C1" w:rsidP="00A240C1">
            <w:pPr>
              <w:ind w:firstLine="459"/>
              <w:rPr>
                <w:rFonts w:ascii="Arial" w:hAnsi="Arial" w:cs="Arial"/>
                <w:b/>
                <w:color w:val="000000"/>
                <w:lang w:eastAsia="en-GB"/>
              </w:rPr>
            </w:pPr>
            <w:r w:rsidRPr="00321192">
              <w:rPr>
                <w:rFonts w:ascii="Arial" w:hAnsi="Arial" w:cs="Arial"/>
                <w:b/>
                <w:color w:val="000000"/>
                <w:lang w:eastAsia="en-GB"/>
              </w:rPr>
              <w:t>Section 3: Background</w:t>
            </w:r>
          </w:p>
          <w:p w:rsidR="00A240C1" w:rsidRPr="00304595" w:rsidRDefault="00304595" w:rsidP="00304595">
            <w:pPr>
              <w:pStyle w:val="ListParagraph"/>
              <w:numPr>
                <w:ilvl w:val="0"/>
                <w:numId w:val="21"/>
              </w:numPr>
              <w:ind w:left="1418" w:hanging="426"/>
              <w:rPr>
                <w:rFonts w:ascii="Arial" w:hAnsi="Arial" w:cs="Arial"/>
                <w:color w:val="000000"/>
                <w:lang w:eastAsia="en-GB"/>
              </w:rPr>
            </w:pPr>
            <w:r w:rsidRPr="00304595">
              <w:rPr>
                <w:rFonts w:ascii="Arial" w:hAnsi="Arial" w:cs="Arial"/>
                <w:color w:val="000000"/>
                <w:lang w:eastAsia="en-GB"/>
              </w:rPr>
              <w:t>Consideration of As</w:t>
            </w:r>
            <w:r>
              <w:rPr>
                <w:rFonts w:ascii="Arial" w:hAnsi="Arial" w:cs="Arial"/>
                <w:color w:val="000000"/>
                <w:lang w:eastAsia="en-GB"/>
              </w:rPr>
              <w:t xml:space="preserve">sembly and Executive Reform by UK Government </w:t>
            </w:r>
          </w:p>
          <w:p w:rsidR="00304595" w:rsidRPr="00304595" w:rsidRDefault="00304595" w:rsidP="00304595">
            <w:pPr>
              <w:pStyle w:val="ListParagraph"/>
              <w:numPr>
                <w:ilvl w:val="0"/>
                <w:numId w:val="21"/>
              </w:numPr>
              <w:ind w:left="1418" w:hanging="284"/>
              <w:rPr>
                <w:rFonts w:ascii="Arial" w:hAnsi="Arial" w:cs="Arial"/>
                <w:color w:val="000000"/>
                <w:lang w:eastAsia="en-GB"/>
              </w:rPr>
            </w:pPr>
            <w:r w:rsidRPr="00304595">
              <w:rPr>
                <w:rFonts w:ascii="Arial" w:hAnsi="Arial" w:cs="Arial"/>
                <w:color w:val="000000"/>
                <w:lang w:eastAsia="en-GB"/>
              </w:rPr>
              <w:t>Consideration of Assembly and Executive Reform by  NI Assembly</w:t>
            </w:r>
          </w:p>
          <w:p w:rsidR="00A360E8" w:rsidRDefault="00A360E8" w:rsidP="00A240C1">
            <w:pPr>
              <w:ind w:left="426"/>
              <w:rPr>
                <w:rFonts w:ascii="Arial" w:hAnsi="Arial" w:cs="Arial"/>
                <w:b/>
                <w:color w:val="000000"/>
                <w:lang w:eastAsia="en-GB"/>
              </w:rPr>
            </w:pPr>
          </w:p>
          <w:p w:rsidR="00A240C1" w:rsidRDefault="00A240C1" w:rsidP="00A240C1">
            <w:pPr>
              <w:ind w:left="426"/>
              <w:rPr>
                <w:rFonts w:ascii="Arial" w:hAnsi="Arial" w:cs="Arial"/>
                <w:b/>
                <w:color w:val="000000"/>
                <w:lang w:eastAsia="en-GB"/>
              </w:rPr>
            </w:pPr>
            <w:r w:rsidRPr="00321192">
              <w:rPr>
                <w:rFonts w:ascii="Arial" w:hAnsi="Arial" w:cs="Arial"/>
                <w:b/>
                <w:color w:val="000000"/>
                <w:lang w:eastAsia="en-GB"/>
              </w:rPr>
              <w:t>Sec</w:t>
            </w:r>
            <w:r>
              <w:rPr>
                <w:rFonts w:ascii="Arial" w:hAnsi="Arial" w:cs="Arial"/>
                <w:b/>
                <w:color w:val="000000"/>
                <w:lang w:eastAsia="en-GB"/>
              </w:rPr>
              <w:t>tion 4: Stakeholder Response to the Bill -  Clause by Clause</w:t>
            </w:r>
          </w:p>
          <w:p w:rsidR="00A360E8" w:rsidRDefault="00A360E8" w:rsidP="00A240C1">
            <w:pPr>
              <w:ind w:left="426"/>
              <w:rPr>
                <w:rFonts w:ascii="Arial" w:hAnsi="Arial" w:cs="Arial"/>
                <w:b/>
                <w:color w:val="000000"/>
                <w:lang w:eastAsia="en-GB"/>
              </w:rPr>
            </w:pPr>
          </w:p>
          <w:p w:rsidR="00A360E8" w:rsidRPr="00A240C1" w:rsidRDefault="00A360E8" w:rsidP="00A240C1">
            <w:pPr>
              <w:ind w:left="426"/>
              <w:rPr>
                <w:rFonts w:ascii="Arial" w:hAnsi="Arial" w:cs="Arial"/>
                <w:b/>
                <w:color w:val="000000"/>
                <w:lang w:eastAsia="en-GB"/>
              </w:rPr>
            </w:pPr>
            <w:r>
              <w:rPr>
                <w:rFonts w:ascii="Arial" w:hAnsi="Arial" w:cs="Arial"/>
                <w:b/>
                <w:color w:val="000000"/>
                <w:lang w:eastAsia="en-GB"/>
              </w:rPr>
              <w:t>Section 5: Contact Details</w:t>
            </w:r>
          </w:p>
          <w:p w:rsidR="00A240C1" w:rsidRDefault="00A240C1" w:rsidP="00A240C1">
            <w:pPr>
              <w:ind w:left="459"/>
              <w:rPr>
                <w:rFonts w:ascii="Arial" w:hAnsi="Arial" w:cs="Arial"/>
                <w:b/>
                <w:color w:val="000000"/>
                <w:lang w:eastAsia="en-GB"/>
              </w:rPr>
            </w:pPr>
          </w:p>
          <w:p w:rsidR="00A360E8" w:rsidRDefault="00A360E8" w:rsidP="00A240C1">
            <w:pPr>
              <w:ind w:left="459"/>
              <w:rPr>
                <w:rFonts w:ascii="Arial" w:hAnsi="Arial" w:cs="Arial"/>
                <w:b/>
                <w:color w:val="000000"/>
                <w:lang w:eastAsia="en-GB"/>
              </w:rPr>
            </w:pPr>
          </w:p>
          <w:p w:rsidR="00A240C1" w:rsidRDefault="00A240C1" w:rsidP="00A240C1">
            <w:pPr>
              <w:ind w:left="459"/>
              <w:rPr>
                <w:rFonts w:ascii="Arial" w:hAnsi="Arial" w:cs="Arial"/>
                <w:b/>
                <w:color w:val="000000"/>
                <w:lang w:eastAsia="en-GB"/>
              </w:rPr>
            </w:pPr>
          </w:p>
          <w:p w:rsidR="00A240C1" w:rsidRPr="00A240C1" w:rsidRDefault="00A240C1" w:rsidP="00A240C1">
            <w:pPr>
              <w:ind w:left="459"/>
              <w:rPr>
                <w:rFonts w:ascii="Arial" w:hAnsi="Arial" w:cs="Arial"/>
                <w:b/>
                <w:color w:val="000000"/>
                <w:lang w:eastAsia="en-GB"/>
              </w:rPr>
            </w:pPr>
          </w:p>
        </w:tc>
        <w:tc>
          <w:tcPr>
            <w:tcW w:w="1984" w:type="dxa"/>
            <w:tcBorders>
              <w:bottom w:val="single" w:sz="4" w:space="0" w:color="auto"/>
            </w:tcBorders>
            <w:shd w:val="clear" w:color="auto" w:fill="EAF1DD"/>
          </w:tcPr>
          <w:p w:rsidR="00A240C1" w:rsidRDefault="00A240C1" w:rsidP="00A240C1">
            <w:pPr>
              <w:jc w:val="center"/>
              <w:rPr>
                <w:rFonts w:ascii="Arial" w:hAnsi="Arial" w:cs="Arial"/>
                <w:color w:val="000000"/>
                <w:lang w:eastAsia="en-GB"/>
              </w:rPr>
            </w:pPr>
          </w:p>
          <w:p w:rsidR="00A240C1" w:rsidRDefault="00A240C1" w:rsidP="00A240C1">
            <w:pPr>
              <w:jc w:val="center"/>
              <w:rPr>
                <w:rFonts w:ascii="Arial" w:hAnsi="Arial" w:cs="Arial"/>
                <w:color w:val="000000"/>
                <w:lang w:eastAsia="en-GB"/>
              </w:rPr>
            </w:pPr>
          </w:p>
          <w:p w:rsidR="00A240C1" w:rsidRPr="00321192" w:rsidRDefault="00A240C1" w:rsidP="00D95343">
            <w:pPr>
              <w:rPr>
                <w:rFonts w:ascii="Arial" w:hAnsi="Arial" w:cs="Arial"/>
                <w:color w:val="000000"/>
                <w:lang w:eastAsia="en-GB"/>
              </w:rPr>
            </w:pPr>
            <w:r>
              <w:rPr>
                <w:rFonts w:ascii="Arial" w:hAnsi="Arial" w:cs="Arial"/>
                <w:color w:val="000000"/>
                <w:lang w:eastAsia="en-GB"/>
              </w:rPr>
              <w:t xml:space="preserve">Page </w:t>
            </w:r>
            <w:r w:rsidR="00A360E8">
              <w:rPr>
                <w:rFonts w:ascii="Arial" w:hAnsi="Arial" w:cs="Arial"/>
                <w:color w:val="000000"/>
                <w:lang w:eastAsia="en-GB"/>
              </w:rPr>
              <w:t>2</w:t>
            </w:r>
          </w:p>
          <w:p w:rsidR="00A240C1" w:rsidRDefault="00A240C1" w:rsidP="00A240C1">
            <w:pPr>
              <w:jc w:val="center"/>
              <w:rPr>
                <w:rFonts w:ascii="Arial" w:hAnsi="Arial" w:cs="Arial"/>
                <w:color w:val="000000"/>
                <w:lang w:eastAsia="en-GB"/>
              </w:rPr>
            </w:pPr>
          </w:p>
          <w:p w:rsidR="00A240C1" w:rsidRDefault="00A240C1" w:rsidP="00A240C1">
            <w:pPr>
              <w:jc w:val="center"/>
              <w:rPr>
                <w:rFonts w:ascii="Arial" w:hAnsi="Arial" w:cs="Arial"/>
                <w:color w:val="000000"/>
                <w:lang w:eastAsia="en-GB"/>
              </w:rPr>
            </w:pPr>
          </w:p>
          <w:p w:rsidR="00A240C1" w:rsidRPr="00321192" w:rsidRDefault="00A240C1" w:rsidP="00D95343">
            <w:pPr>
              <w:rPr>
                <w:rFonts w:ascii="Arial" w:hAnsi="Arial" w:cs="Arial"/>
                <w:color w:val="000000"/>
                <w:lang w:eastAsia="en-GB"/>
              </w:rPr>
            </w:pPr>
            <w:r>
              <w:rPr>
                <w:rFonts w:ascii="Arial" w:hAnsi="Arial" w:cs="Arial"/>
                <w:color w:val="000000"/>
                <w:lang w:eastAsia="en-GB"/>
              </w:rPr>
              <w:t xml:space="preserve">Pages </w:t>
            </w:r>
            <w:r w:rsidR="00A360E8">
              <w:rPr>
                <w:rFonts w:ascii="Arial" w:hAnsi="Arial" w:cs="Arial"/>
                <w:color w:val="000000"/>
                <w:lang w:eastAsia="en-GB"/>
              </w:rPr>
              <w:t>3</w:t>
            </w:r>
          </w:p>
          <w:p w:rsidR="00A240C1" w:rsidRPr="00321192" w:rsidRDefault="00A240C1" w:rsidP="00A240C1">
            <w:pPr>
              <w:jc w:val="center"/>
              <w:rPr>
                <w:rFonts w:ascii="Arial" w:hAnsi="Arial" w:cs="Arial"/>
                <w:color w:val="000000"/>
                <w:lang w:eastAsia="en-GB"/>
              </w:rPr>
            </w:pPr>
          </w:p>
          <w:p w:rsidR="00A240C1" w:rsidRPr="00321192" w:rsidRDefault="00A240C1" w:rsidP="00A240C1">
            <w:pPr>
              <w:jc w:val="center"/>
              <w:rPr>
                <w:rFonts w:ascii="Arial" w:hAnsi="Arial" w:cs="Arial"/>
                <w:color w:val="000000"/>
                <w:lang w:eastAsia="en-GB"/>
              </w:rPr>
            </w:pPr>
          </w:p>
          <w:p w:rsidR="00A240C1" w:rsidRDefault="00A240C1" w:rsidP="00A240C1">
            <w:pPr>
              <w:jc w:val="center"/>
              <w:rPr>
                <w:rFonts w:ascii="Arial" w:hAnsi="Arial" w:cs="Arial"/>
                <w:color w:val="000000"/>
                <w:lang w:eastAsia="en-GB"/>
              </w:rPr>
            </w:pPr>
          </w:p>
          <w:p w:rsidR="00A240C1" w:rsidRPr="00321192" w:rsidRDefault="00A240C1" w:rsidP="00A360E8">
            <w:pPr>
              <w:rPr>
                <w:rFonts w:ascii="Arial" w:hAnsi="Arial" w:cs="Arial"/>
                <w:lang w:eastAsia="en-GB"/>
              </w:rPr>
            </w:pPr>
            <w:r>
              <w:rPr>
                <w:rFonts w:ascii="Arial" w:hAnsi="Arial" w:cs="Arial"/>
                <w:lang w:eastAsia="en-GB"/>
              </w:rPr>
              <w:t xml:space="preserve">Pages </w:t>
            </w:r>
            <w:r w:rsidR="009C12C6">
              <w:rPr>
                <w:rFonts w:ascii="Arial" w:hAnsi="Arial" w:cs="Arial"/>
                <w:lang w:eastAsia="en-GB"/>
              </w:rPr>
              <w:t>4-7</w:t>
            </w:r>
            <w:r>
              <w:rPr>
                <w:rFonts w:ascii="Arial" w:hAnsi="Arial" w:cs="Arial"/>
                <w:lang w:eastAsia="en-GB"/>
              </w:rPr>
              <w:t xml:space="preserve"> </w:t>
            </w:r>
          </w:p>
          <w:p w:rsidR="00A240C1" w:rsidRPr="00321192" w:rsidRDefault="00A240C1" w:rsidP="00A240C1">
            <w:pPr>
              <w:jc w:val="center"/>
              <w:rPr>
                <w:rFonts w:ascii="Arial" w:hAnsi="Arial" w:cs="Arial"/>
                <w:lang w:eastAsia="en-GB"/>
              </w:rPr>
            </w:pPr>
          </w:p>
          <w:p w:rsidR="00A240C1" w:rsidRPr="00321192" w:rsidRDefault="00A240C1" w:rsidP="00A240C1">
            <w:pPr>
              <w:jc w:val="center"/>
              <w:rPr>
                <w:rFonts w:ascii="Arial" w:hAnsi="Arial" w:cs="Arial"/>
                <w:lang w:eastAsia="en-GB"/>
              </w:rPr>
            </w:pPr>
          </w:p>
          <w:p w:rsidR="00304595" w:rsidRDefault="00304595" w:rsidP="00A240C1">
            <w:pPr>
              <w:rPr>
                <w:rFonts w:ascii="Arial" w:hAnsi="Arial" w:cs="Arial"/>
                <w:lang w:eastAsia="en-GB"/>
              </w:rPr>
            </w:pPr>
          </w:p>
          <w:p w:rsidR="00304595" w:rsidRDefault="00304595" w:rsidP="00A240C1">
            <w:pPr>
              <w:rPr>
                <w:rFonts w:ascii="Arial" w:hAnsi="Arial" w:cs="Arial"/>
                <w:lang w:eastAsia="en-GB"/>
              </w:rPr>
            </w:pPr>
          </w:p>
          <w:p w:rsidR="00304595" w:rsidRDefault="00304595" w:rsidP="00A240C1">
            <w:pPr>
              <w:rPr>
                <w:rFonts w:ascii="Arial" w:hAnsi="Arial" w:cs="Arial"/>
                <w:lang w:eastAsia="en-GB"/>
              </w:rPr>
            </w:pPr>
          </w:p>
          <w:p w:rsidR="00A240C1" w:rsidRPr="00321192" w:rsidRDefault="009C12C6" w:rsidP="00A240C1">
            <w:pPr>
              <w:rPr>
                <w:rFonts w:ascii="Arial" w:hAnsi="Arial" w:cs="Arial"/>
                <w:lang w:eastAsia="en-GB"/>
              </w:rPr>
            </w:pPr>
            <w:r>
              <w:rPr>
                <w:rFonts w:ascii="Arial" w:hAnsi="Arial" w:cs="Arial"/>
                <w:lang w:eastAsia="en-GB"/>
              </w:rPr>
              <w:t>Pages 8-1</w:t>
            </w:r>
            <w:r w:rsidR="00D95343">
              <w:rPr>
                <w:rFonts w:ascii="Arial" w:hAnsi="Arial" w:cs="Arial"/>
                <w:lang w:eastAsia="en-GB"/>
              </w:rPr>
              <w:t>3</w:t>
            </w:r>
          </w:p>
          <w:p w:rsidR="00A240C1" w:rsidRDefault="00A240C1" w:rsidP="00A240C1">
            <w:pPr>
              <w:rPr>
                <w:rFonts w:ascii="Arial" w:hAnsi="Arial" w:cs="Arial"/>
                <w:lang w:eastAsia="en-GB"/>
              </w:rPr>
            </w:pPr>
          </w:p>
          <w:p w:rsidR="00A360E8" w:rsidRDefault="00A360E8" w:rsidP="00A240C1">
            <w:pPr>
              <w:rPr>
                <w:rFonts w:ascii="Arial" w:hAnsi="Arial" w:cs="Arial"/>
                <w:lang w:eastAsia="en-GB"/>
              </w:rPr>
            </w:pPr>
            <w:r>
              <w:rPr>
                <w:rFonts w:ascii="Arial" w:hAnsi="Arial" w:cs="Arial"/>
                <w:lang w:eastAsia="en-GB"/>
              </w:rPr>
              <w:t xml:space="preserve">Page </w:t>
            </w:r>
            <w:r w:rsidR="00D95343">
              <w:rPr>
                <w:rFonts w:ascii="Arial" w:hAnsi="Arial" w:cs="Arial"/>
                <w:lang w:eastAsia="en-GB"/>
              </w:rPr>
              <w:t>14</w:t>
            </w:r>
          </w:p>
          <w:p w:rsidR="009C12C6" w:rsidRDefault="009C12C6" w:rsidP="00A240C1">
            <w:pPr>
              <w:rPr>
                <w:rFonts w:ascii="Arial" w:hAnsi="Arial" w:cs="Arial"/>
                <w:lang w:eastAsia="en-GB"/>
              </w:rPr>
            </w:pPr>
          </w:p>
          <w:p w:rsidR="00A240C1" w:rsidRDefault="00A240C1" w:rsidP="00A240C1">
            <w:pPr>
              <w:jc w:val="center"/>
              <w:rPr>
                <w:rFonts w:ascii="Arial" w:hAnsi="Arial" w:cs="Arial"/>
                <w:lang w:eastAsia="en-GB"/>
              </w:rPr>
            </w:pPr>
          </w:p>
          <w:p w:rsidR="00A240C1" w:rsidRPr="00321192" w:rsidRDefault="00A240C1" w:rsidP="00A240C1">
            <w:pPr>
              <w:jc w:val="center"/>
              <w:rPr>
                <w:rFonts w:ascii="Arial" w:hAnsi="Arial" w:cs="Arial"/>
                <w:lang w:eastAsia="en-GB"/>
              </w:rPr>
            </w:pPr>
          </w:p>
          <w:p w:rsidR="00A240C1" w:rsidRDefault="00A240C1" w:rsidP="00A240C1">
            <w:pPr>
              <w:rPr>
                <w:rFonts w:ascii="Arial" w:hAnsi="Arial" w:cs="Arial"/>
                <w:lang w:eastAsia="en-GB"/>
              </w:rPr>
            </w:pPr>
          </w:p>
          <w:p w:rsidR="00A240C1" w:rsidRPr="00321192" w:rsidRDefault="00A240C1" w:rsidP="00A240C1">
            <w:pPr>
              <w:jc w:val="center"/>
              <w:rPr>
                <w:rFonts w:ascii="Arial" w:hAnsi="Arial" w:cs="Arial"/>
                <w:lang w:eastAsia="en-GB"/>
              </w:rPr>
            </w:pPr>
          </w:p>
        </w:tc>
      </w:tr>
    </w:tbl>
    <w:p w:rsidR="00A240C1" w:rsidRDefault="00A240C1" w:rsidP="00A240C1"/>
    <w:p w:rsidR="00A240C1" w:rsidRDefault="00A240C1" w:rsidP="00A240C1"/>
    <w:p w:rsidR="00A240C1" w:rsidRDefault="00A240C1" w:rsidP="00A240C1"/>
    <w:p w:rsidR="00A240C1" w:rsidRDefault="00A240C1">
      <w:pPr>
        <w:spacing w:after="200" w:line="276" w:lineRule="auto"/>
      </w:pPr>
      <w: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8"/>
        <w:gridCol w:w="2156"/>
        <w:gridCol w:w="330"/>
        <w:gridCol w:w="1630"/>
        <w:gridCol w:w="922"/>
      </w:tblGrid>
      <w:tr w:rsidR="00A240C1" w:rsidRPr="00725D5D" w:rsidTr="00A240C1">
        <w:trPr>
          <w:trHeight w:val="106"/>
        </w:trPr>
        <w:tc>
          <w:tcPr>
            <w:tcW w:w="10206" w:type="dxa"/>
            <w:gridSpan w:val="5"/>
            <w:shd w:val="clear" w:color="auto" w:fill="C6D9F1"/>
          </w:tcPr>
          <w:p w:rsidR="00A240C1" w:rsidRPr="00725D5D" w:rsidRDefault="00A240C1" w:rsidP="00440055">
            <w:pPr>
              <w:jc w:val="center"/>
              <w:rPr>
                <w:rFonts w:ascii="Arial" w:hAnsi="Arial" w:cs="Arial"/>
                <w:b/>
              </w:rPr>
            </w:pPr>
          </w:p>
          <w:p w:rsidR="00A240C1" w:rsidRDefault="00A240C1" w:rsidP="00440055">
            <w:pPr>
              <w:jc w:val="center"/>
              <w:rPr>
                <w:rFonts w:ascii="Arial" w:hAnsi="Arial" w:cs="Arial"/>
                <w:b/>
              </w:rPr>
            </w:pPr>
            <w:r w:rsidRPr="00725D5D">
              <w:rPr>
                <w:rFonts w:ascii="Arial" w:hAnsi="Arial" w:cs="Arial"/>
                <w:b/>
              </w:rPr>
              <w:t xml:space="preserve">Section 1 </w:t>
            </w:r>
          </w:p>
          <w:p w:rsidR="00A240C1" w:rsidRDefault="00A240C1" w:rsidP="00440055">
            <w:pPr>
              <w:jc w:val="center"/>
              <w:rPr>
                <w:rFonts w:ascii="Arial" w:hAnsi="Arial" w:cs="Arial"/>
                <w:b/>
              </w:rPr>
            </w:pPr>
          </w:p>
          <w:p w:rsidR="00A240C1" w:rsidRPr="00335762" w:rsidRDefault="00A240C1" w:rsidP="00440055">
            <w:pPr>
              <w:jc w:val="center"/>
              <w:rPr>
                <w:rFonts w:ascii="Arial" w:hAnsi="Arial" w:cs="Arial"/>
                <w:b/>
                <w:u w:val="single"/>
              </w:rPr>
            </w:pPr>
            <w:r w:rsidRPr="00335762">
              <w:rPr>
                <w:rFonts w:ascii="Arial" w:hAnsi="Arial" w:cs="Arial"/>
                <w:b/>
                <w:u w:val="single"/>
              </w:rPr>
              <w:t>Stakeholder Details</w:t>
            </w:r>
          </w:p>
          <w:p w:rsidR="00A240C1" w:rsidRPr="00725D5D" w:rsidRDefault="00A240C1" w:rsidP="00440055">
            <w:pPr>
              <w:jc w:val="center"/>
              <w:rPr>
                <w:rFonts w:ascii="Arial" w:hAnsi="Arial" w:cs="Arial"/>
                <w:b/>
              </w:rPr>
            </w:pPr>
          </w:p>
        </w:tc>
      </w:tr>
      <w:tr w:rsidR="00A240C1" w:rsidRPr="00725D5D" w:rsidTr="00A240C1">
        <w:trPr>
          <w:trHeight w:val="106"/>
        </w:trPr>
        <w:tc>
          <w:tcPr>
            <w:tcW w:w="5168" w:type="dxa"/>
            <w:shd w:val="clear" w:color="auto" w:fill="CCFFFF"/>
          </w:tcPr>
          <w:p w:rsidR="00A240C1" w:rsidRPr="00725D5D" w:rsidRDefault="00A240C1" w:rsidP="00440055">
            <w:pPr>
              <w:jc w:val="center"/>
              <w:rPr>
                <w:rFonts w:ascii="Arial" w:hAnsi="Arial" w:cs="Arial"/>
                <w:b/>
              </w:rPr>
            </w:pPr>
            <w:r w:rsidRPr="00725D5D">
              <w:rPr>
                <w:rFonts w:ascii="Arial" w:hAnsi="Arial" w:cs="Arial"/>
                <w:b/>
              </w:rPr>
              <w:t>Stakeholder Name</w:t>
            </w:r>
          </w:p>
        </w:tc>
        <w:tc>
          <w:tcPr>
            <w:tcW w:w="5038" w:type="dxa"/>
            <w:gridSpan w:val="4"/>
            <w:shd w:val="clear" w:color="auto" w:fill="CCFFFF"/>
          </w:tcPr>
          <w:p w:rsidR="00A240C1" w:rsidRPr="00725D5D" w:rsidRDefault="00A240C1" w:rsidP="00440055">
            <w:pPr>
              <w:jc w:val="center"/>
              <w:rPr>
                <w:rFonts w:ascii="Arial" w:hAnsi="Arial" w:cs="Arial"/>
                <w:b/>
              </w:rPr>
            </w:pPr>
            <w:r w:rsidRPr="00725D5D">
              <w:rPr>
                <w:rFonts w:ascii="Arial" w:hAnsi="Arial" w:cs="Arial"/>
                <w:b/>
              </w:rPr>
              <w:t>Telephone Number</w:t>
            </w:r>
          </w:p>
        </w:tc>
      </w:tr>
      <w:tr w:rsidR="00A240C1" w:rsidRPr="00725D5D" w:rsidTr="00A240C1">
        <w:trPr>
          <w:trHeight w:val="263"/>
        </w:trPr>
        <w:tc>
          <w:tcPr>
            <w:tcW w:w="5168" w:type="dxa"/>
            <w:shd w:val="clear" w:color="auto" w:fill="auto"/>
          </w:tcPr>
          <w:p w:rsidR="00A240C1" w:rsidRPr="00725D5D" w:rsidRDefault="00A240C1" w:rsidP="00A240C1">
            <w:pPr>
              <w:jc w:val="center"/>
              <w:rPr>
                <w:rFonts w:ascii="Arial" w:hAnsi="Arial" w:cs="Arial"/>
              </w:rPr>
            </w:pPr>
          </w:p>
        </w:tc>
        <w:tc>
          <w:tcPr>
            <w:tcW w:w="5038" w:type="dxa"/>
            <w:gridSpan w:val="4"/>
            <w:shd w:val="clear" w:color="auto" w:fill="auto"/>
          </w:tcPr>
          <w:p w:rsidR="00A240C1" w:rsidRPr="00725D5D" w:rsidRDefault="00A240C1" w:rsidP="00440055">
            <w:pPr>
              <w:jc w:val="center"/>
              <w:rPr>
                <w:rFonts w:ascii="Arial" w:hAnsi="Arial" w:cs="Arial"/>
              </w:rPr>
            </w:pPr>
          </w:p>
        </w:tc>
      </w:tr>
      <w:tr w:rsidR="00A240C1" w:rsidRPr="00725D5D" w:rsidTr="00A240C1">
        <w:trPr>
          <w:trHeight w:val="106"/>
        </w:trPr>
        <w:tc>
          <w:tcPr>
            <w:tcW w:w="5168" w:type="dxa"/>
            <w:shd w:val="clear" w:color="auto" w:fill="CCFFFF"/>
          </w:tcPr>
          <w:p w:rsidR="00A240C1" w:rsidRPr="00725D5D" w:rsidRDefault="00A240C1" w:rsidP="00440055">
            <w:pPr>
              <w:jc w:val="center"/>
              <w:rPr>
                <w:rFonts w:ascii="Arial" w:hAnsi="Arial" w:cs="Arial"/>
                <w:b/>
              </w:rPr>
            </w:pPr>
            <w:r w:rsidRPr="00725D5D">
              <w:rPr>
                <w:rFonts w:ascii="Arial" w:hAnsi="Arial" w:cs="Arial"/>
                <w:b/>
              </w:rPr>
              <w:t>Stakeholder Address</w:t>
            </w:r>
          </w:p>
        </w:tc>
        <w:tc>
          <w:tcPr>
            <w:tcW w:w="5038" w:type="dxa"/>
            <w:gridSpan w:val="4"/>
            <w:shd w:val="clear" w:color="auto" w:fill="CCFFFF"/>
          </w:tcPr>
          <w:p w:rsidR="00A240C1" w:rsidRPr="00725D5D" w:rsidRDefault="00A240C1" w:rsidP="00440055">
            <w:pPr>
              <w:rPr>
                <w:rFonts w:ascii="Arial" w:hAnsi="Arial" w:cs="Arial"/>
                <w:b/>
              </w:rPr>
            </w:pPr>
            <w:r w:rsidRPr="00725D5D">
              <w:rPr>
                <w:rFonts w:ascii="Arial" w:hAnsi="Arial" w:cs="Arial"/>
                <w:b/>
              </w:rPr>
              <w:t>Stakeholder Type (Include one or more X)</w:t>
            </w:r>
          </w:p>
        </w:tc>
      </w:tr>
      <w:tr w:rsidR="00A240C1" w:rsidRPr="00725D5D" w:rsidTr="00A240C1">
        <w:trPr>
          <w:trHeight w:val="304"/>
        </w:trPr>
        <w:tc>
          <w:tcPr>
            <w:tcW w:w="5168" w:type="dxa"/>
            <w:vMerge w:val="restart"/>
            <w:shd w:val="clear" w:color="auto" w:fill="auto"/>
          </w:tcPr>
          <w:p w:rsidR="00A240C1" w:rsidRPr="00725D5D" w:rsidRDefault="00A240C1" w:rsidP="00440055">
            <w:pPr>
              <w:jc w:val="center"/>
              <w:rPr>
                <w:rFonts w:ascii="Arial" w:hAnsi="Arial" w:cs="Arial"/>
              </w:rPr>
            </w:pPr>
          </w:p>
          <w:p w:rsidR="00A240C1" w:rsidRPr="00725D5D" w:rsidRDefault="00A240C1" w:rsidP="00440055">
            <w:pPr>
              <w:jc w:val="center"/>
              <w:rPr>
                <w:rFonts w:ascii="Arial" w:hAnsi="Arial" w:cs="Arial"/>
              </w:rPr>
            </w:pPr>
          </w:p>
        </w:tc>
        <w:tc>
          <w:tcPr>
            <w:tcW w:w="2156" w:type="dxa"/>
            <w:shd w:val="clear" w:color="auto" w:fill="CCFFFF"/>
          </w:tcPr>
          <w:p w:rsidR="00A240C1" w:rsidRPr="00725D5D" w:rsidRDefault="00A240C1" w:rsidP="00440055">
            <w:pPr>
              <w:rPr>
                <w:rFonts w:ascii="Arial" w:hAnsi="Arial" w:cs="Arial"/>
                <w:b/>
              </w:rPr>
            </w:pPr>
            <w:r w:rsidRPr="00725D5D">
              <w:rPr>
                <w:rFonts w:ascii="Arial" w:hAnsi="Arial" w:cs="Arial"/>
                <w:b/>
              </w:rPr>
              <w:t>Registered Political Party</w:t>
            </w:r>
          </w:p>
        </w:tc>
        <w:tc>
          <w:tcPr>
            <w:tcW w:w="330" w:type="dxa"/>
            <w:shd w:val="clear" w:color="auto" w:fill="auto"/>
          </w:tcPr>
          <w:p w:rsidR="00A240C1" w:rsidRPr="00725D5D" w:rsidRDefault="00A240C1" w:rsidP="00440055">
            <w:pPr>
              <w:rPr>
                <w:rFonts w:ascii="Arial" w:hAnsi="Arial" w:cs="Arial"/>
              </w:rPr>
            </w:pPr>
          </w:p>
        </w:tc>
        <w:tc>
          <w:tcPr>
            <w:tcW w:w="1630" w:type="dxa"/>
            <w:shd w:val="clear" w:color="auto" w:fill="CCFFFF"/>
          </w:tcPr>
          <w:p w:rsidR="00A240C1" w:rsidRPr="00725D5D" w:rsidRDefault="00A240C1" w:rsidP="00440055">
            <w:pPr>
              <w:rPr>
                <w:rFonts w:ascii="Arial" w:hAnsi="Arial" w:cs="Arial"/>
                <w:b/>
              </w:rPr>
            </w:pPr>
            <w:r w:rsidRPr="00725D5D">
              <w:rPr>
                <w:rFonts w:ascii="Arial" w:hAnsi="Arial" w:cs="Arial"/>
                <w:b/>
              </w:rPr>
              <w:t>Local Government</w:t>
            </w:r>
          </w:p>
        </w:tc>
        <w:tc>
          <w:tcPr>
            <w:tcW w:w="922" w:type="dxa"/>
            <w:shd w:val="clear" w:color="auto" w:fill="auto"/>
          </w:tcPr>
          <w:p w:rsidR="00A240C1" w:rsidRPr="00725D5D" w:rsidRDefault="00A240C1" w:rsidP="00440055">
            <w:pPr>
              <w:rPr>
                <w:rFonts w:ascii="Arial" w:hAnsi="Arial" w:cs="Arial"/>
              </w:rPr>
            </w:pPr>
          </w:p>
        </w:tc>
      </w:tr>
      <w:tr w:rsidR="00A240C1" w:rsidRPr="00725D5D" w:rsidTr="00A240C1">
        <w:trPr>
          <w:trHeight w:val="304"/>
        </w:trPr>
        <w:tc>
          <w:tcPr>
            <w:tcW w:w="5168" w:type="dxa"/>
            <w:vMerge/>
            <w:shd w:val="clear" w:color="auto" w:fill="auto"/>
          </w:tcPr>
          <w:p w:rsidR="00A240C1" w:rsidRPr="00725D5D" w:rsidRDefault="00A240C1" w:rsidP="00440055">
            <w:pPr>
              <w:rPr>
                <w:rFonts w:ascii="Arial" w:hAnsi="Arial" w:cs="Arial"/>
              </w:rPr>
            </w:pPr>
          </w:p>
        </w:tc>
        <w:tc>
          <w:tcPr>
            <w:tcW w:w="2156" w:type="dxa"/>
            <w:shd w:val="clear" w:color="auto" w:fill="CCFFFF"/>
          </w:tcPr>
          <w:p w:rsidR="00A240C1" w:rsidRPr="00725D5D" w:rsidRDefault="00A240C1" w:rsidP="00440055">
            <w:pPr>
              <w:rPr>
                <w:rFonts w:ascii="Arial" w:hAnsi="Arial" w:cs="Arial"/>
                <w:b/>
              </w:rPr>
            </w:pPr>
            <w:r w:rsidRPr="00725D5D">
              <w:rPr>
                <w:rFonts w:ascii="Arial" w:hAnsi="Arial" w:cs="Arial"/>
                <w:b/>
              </w:rPr>
              <w:t>Academic</w:t>
            </w:r>
          </w:p>
        </w:tc>
        <w:tc>
          <w:tcPr>
            <w:tcW w:w="330" w:type="dxa"/>
            <w:shd w:val="clear" w:color="auto" w:fill="auto"/>
          </w:tcPr>
          <w:p w:rsidR="00A240C1" w:rsidRPr="00725D5D" w:rsidRDefault="00A240C1" w:rsidP="00440055">
            <w:pPr>
              <w:rPr>
                <w:rFonts w:ascii="Arial" w:hAnsi="Arial" w:cs="Arial"/>
              </w:rPr>
            </w:pPr>
          </w:p>
        </w:tc>
        <w:tc>
          <w:tcPr>
            <w:tcW w:w="1630" w:type="dxa"/>
            <w:shd w:val="clear" w:color="auto" w:fill="CCFFFF"/>
          </w:tcPr>
          <w:p w:rsidR="00A240C1" w:rsidRPr="00725D5D" w:rsidRDefault="00A240C1" w:rsidP="00440055">
            <w:pPr>
              <w:rPr>
                <w:rFonts w:ascii="Arial" w:hAnsi="Arial" w:cs="Arial"/>
                <w:b/>
              </w:rPr>
            </w:pPr>
            <w:r>
              <w:rPr>
                <w:rFonts w:ascii="Arial" w:hAnsi="Arial" w:cs="Arial"/>
                <w:b/>
              </w:rPr>
              <w:t xml:space="preserve">Government </w:t>
            </w:r>
          </w:p>
        </w:tc>
        <w:tc>
          <w:tcPr>
            <w:tcW w:w="922" w:type="dxa"/>
            <w:shd w:val="clear" w:color="auto" w:fill="auto"/>
          </w:tcPr>
          <w:p w:rsidR="00A240C1" w:rsidRPr="00725D5D" w:rsidRDefault="00A240C1" w:rsidP="00440055">
            <w:pPr>
              <w:rPr>
                <w:rFonts w:ascii="Arial" w:hAnsi="Arial" w:cs="Arial"/>
              </w:rPr>
            </w:pPr>
          </w:p>
        </w:tc>
      </w:tr>
      <w:tr w:rsidR="00A240C1" w:rsidRPr="00725D5D" w:rsidTr="00A240C1">
        <w:trPr>
          <w:trHeight w:val="304"/>
        </w:trPr>
        <w:tc>
          <w:tcPr>
            <w:tcW w:w="5168" w:type="dxa"/>
            <w:vMerge/>
            <w:shd w:val="clear" w:color="auto" w:fill="auto"/>
          </w:tcPr>
          <w:p w:rsidR="00A240C1" w:rsidRPr="00725D5D" w:rsidRDefault="00A240C1" w:rsidP="00440055">
            <w:pPr>
              <w:rPr>
                <w:rFonts w:ascii="Arial" w:hAnsi="Arial" w:cs="Arial"/>
              </w:rPr>
            </w:pPr>
          </w:p>
        </w:tc>
        <w:tc>
          <w:tcPr>
            <w:tcW w:w="2156" w:type="dxa"/>
            <w:shd w:val="clear" w:color="auto" w:fill="CCFFFF"/>
          </w:tcPr>
          <w:p w:rsidR="00A240C1" w:rsidRPr="00725D5D" w:rsidRDefault="00A240C1" w:rsidP="00440055">
            <w:pPr>
              <w:rPr>
                <w:rFonts w:ascii="Arial" w:hAnsi="Arial" w:cs="Arial"/>
                <w:b/>
              </w:rPr>
            </w:pPr>
            <w:r w:rsidRPr="00725D5D">
              <w:rPr>
                <w:rFonts w:ascii="Arial" w:hAnsi="Arial" w:cs="Arial"/>
                <w:b/>
              </w:rPr>
              <w:t>Legislature</w:t>
            </w:r>
          </w:p>
        </w:tc>
        <w:tc>
          <w:tcPr>
            <w:tcW w:w="330" w:type="dxa"/>
            <w:shd w:val="clear" w:color="auto" w:fill="auto"/>
          </w:tcPr>
          <w:p w:rsidR="00A240C1" w:rsidRPr="00725D5D" w:rsidRDefault="00A240C1" w:rsidP="00440055">
            <w:pPr>
              <w:rPr>
                <w:rFonts w:ascii="Arial" w:hAnsi="Arial" w:cs="Arial"/>
              </w:rPr>
            </w:pPr>
          </w:p>
        </w:tc>
        <w:tc>
          <w:tcPr>
            <w:tcW w:w="1630" w:type="dxa"/>
            <w:shd w:val="clear" w:color="auto" w:fill="CCFFFF"/>
          </w:tcPr>
          <w:p w:rsidR="00A240C1" w:rsidRPr="00725D5D" w:rsidRDefault="00A240C1" w:rsidP="00440055">
            <w:pPr>
              <w:rPr>
                <w:rFonts w:ascii="Arial" w:hAnsi="Arial" w:cs="Arial"/>
                <w:b/>
              </w:rPr>
            </w:pPr>
            <w:r>
              <w:rPr>
                <w:rFonts w:ascii="Arial" w:hAnsi="Arial" w:cs="Arial"/>
                <w:b/>
              </w:rPr>
              <w:t xml:space="preserve">Non-Government </w:t>
            </w:r>
          </w:p>
        </w:tc>
        <w:tc>
          <w:tcPr>
            <w:tcW w:w="922" w:type="dxa"/>
            <w:shd w:val="clear" w:color="auto" w:fill="auto"/>
          </w:tcPr>
          <w:p w:rsidR="00A240C1" w:rsidRPr="00725D5D" w:rsidRDefault="00A240C1" w:rsidP="00440055">
            <w:pPr>
              <w:rPr>
                <w:rFonts w:ascii="Arial" w:hAnsi="Arial" w:cs="Arial"/>
              </w:rPr>
            </w:pPr>
          </w:p>
        </w:tc>
      </w:tr>
      <w:tr w:rsidR="00A240C1" w:rsidRPr="00725D5D" w:rsidTr="00A240C1">
        <w:trPr>
          <w:trHeight w:val="304"/>
        </w:trPr>
        <w:tc>
          <w:tcPr>
            <w:tcW w:w="5168" w:type="dxa"/>
            <w:vMerge/>
            <w:shd w:val="clear" w:color="auto" w:fill="auto"/>
          </w:tcPr>
          <w:p w:rsidR="00A240C1" w:rsidRPr="00725D5D" w:rsidRDefault="00A240C1" w:rsidP="00440055">
            <w:pPr>
              <w:rPr>
                <w:rFonts w:ascii="Arial" w:hAnsi="Arial" w:cs="Arial"/>
              </w:rPr>
            </w:pPr>
          </w:p>
        </w:tc>
        <w:tc>
          <w:tcPr>
            <w:tcW w:w="4116" w:type="dxa"/>
            <w:gridSpan w:val="3"/>
            <w:shd w:val="clear" w:color="auto" w:fill="CCFFFF"/>
          </w:tcPr>
          <w:p w:rsidR="00A240C1" w:rsidRPr="00725D5D" w:rsidRDefault="00A240C1" w:rsidP="00440055">
            <w:pPr>
              <w:rPr>
                <w:rFonts w:ascii="Arial" w:hAnsi="Arial" w:cs="Arial"/>
                <w:b/>
              </w:rPr>
            </w:pPr>
            <w:r w:rsidRPr="00725D5D">
              <w:rPr>
                <w:rFonts w:ascii="Arial" w:hAnsi="Arial" w:cs="Arial"/>
                <w:b/>
              </w:rPr>
              <w:t>Other (Please Specify)/ Member of the Public</w:t>
            </w:r>
          </w:p>
        </w:tc>
        <w:tc>
          <w:tcPr>
            <w:tcW w:w="922" w:type="dxa"/>
            <w:shd w:val="clear" w:color="auto" w:fill="auto"/>
          </w:tcPr>
          <w:p w:rsidR="00A240C1" w:rsidRPr="00725D5D" w:rsidRDefault="00A240C1" w:rsidP="00440055">
            <w:pPr>
              <w:rPr>
                <w:rFonts w:ascii="Arial" w:hAnsi="Arial" w:cs="Arial"/>
              </w:rPr>
            </w:pPr>
          </w:p>
        </w:tc>
      </w:tr>
      <w:tr w:rsidR="00A240C1" w:rsidRPr="00725D5D" w:rsidTr="00A240C1">
        <w:trPr>
          <w:trHeight w:val="304"/>
        </w:trPr>
        <w:tc>
          <w:tcPr>
            <w:tcW w:w="5168" w:type="dxa"/>
            <w:vMerge/>
            <w:shd w:val="clear" w:color="auto" w:fill="auto"/>
          </w:tcPr>
          <w:p w:rsidR="00A240C1" w:rsidRPr="00725D5D" w:rsidRDefault="00A240C1" w:rsidP="00440055">
            <w:pPr>
              <w:rPr>
                <w:rFonts w:ascii="Arial" w:hAnsi="Arial" w:cs="Arial"/>
              </w:rPr>
            </w:pPr>
          </w:p>
        </w:tc>
        <w:tc>
          <w:tcPr>
            <w:tcW w:w="5038" w:type="dxa"/>
            <w:gridSpan w:val="4"/>
            <w:shd w:val="clear" w:color="auto" w:fill="auto"/>
          </w:tcPr>
          <w:p w:rsidR="00A240C1" w:rsidRDefault="00A240C1" w:rsidP="00440055">
            <w:pPr>
              <w:rPr>
                <w:rFonts w:ascii="Arial" w:hAnsi="Arial" w:cs="Arial"/>
              </w:rPr>
            </w:pPr>
          </w:p>
          <w:p w:rsidR="00A240C1" w:rsidRPr="00725D5D" w:rsidRDefault="00A240C1" w:rsidP="00440055">
            <w:pPr>
              <w:rPr>
                <w:rFonts w:ascii="Arial" w:hAnsi="Arial" w:cs="Arial"/>
              </w:rPr>
            </w:pPr>
          </w:p>
        </w:tc>
      </w:tr>
      <w:tr w:rsidR="00A240C1" w:rsidRPr="00725D5D" w:rsidTr="00A240C1">
        <w:trPr>
          <w:trHeight w:val="106"/>
        </w:trPr>
        <w:tc>
          <w:tcPr>
            <w:tcW w:w="10206" w:type="dxa"/>
            <w:gridSpan w:val="5"/>
            <w:shd w:val="clear" w:color="auto" w:fill="CCFFFF"/>
          </w:tcPr>
          <w:p w:rsidR="00A240C1" w:rsidRPr="00725D5D" w:rsidRDefault="00A240C1" w:rsidP="00440055">
            <w:pPr>
              <w:jc w:val="center"/>
              <w:rPr>
                <w:rFonts w:ascii="Arial" w:hAnsi="Arial" w:cs="Arial"/>
                <w:b/>
              </w:rPr>
            </w:pPr>
            <w:r w:rsidRPr="00725D5D">
              <w:rPr>
                <w:rFonts w:ascii="Arial" w:hAnsi="Arial" w:cs="Arial"/>
                <w:b/>
              </w:rPr>
              <w:t>Please provide some background information on your role as a stakeholder</w:t>
            </w:r>
          </w:p>
        </w:tc>
      </w:tr>
      <w:tr w:rsidR="00A240C1" w:rsidTr="00A240C1">
        <w:trPr>
          <w:trHeight w:val="2219"/>
        </w:trPr>
        <w:tc>
          <w:tcPr>
            <w:tcW w:w="10206" w:type="dxa"/>
            <w:gridSpan w:val="5"/>
            <w:shd w:val="clear" w:color="auto" w:fill="auto"/>
          </w:tcPr>
          <w:p w:rsidR="00A240C1" w:rsidRDefault="00A240C1" w:rsidP="00440055">
            <w:pPr>
              <w:rPr>
                <w:rFonts w:ascii="Arial" w:hAnsi="Arial" w:cs="Arial"/>
              </w:rPr>
            </w:pPr>
            <w:r>
              <w:rPr>
                <w:rFonts w:ascii="Arial" w:hAnsi="Arial" w:cs="Arial"/>
              </w:rPr>
              <w:t>(This box will expand as you type)</w:t>
            </w:r>
          </w:p>
          <w:p w:rsidR="00A240C1" w:rsidRDefault="00A240C1" w:rsidP="00440055">
            <w:pPr>
              <w:rPr>
                <w:rFonts w:ascii="Arial" w:hAnsi="Arial" w:cs="Arial"/>
              </w:rPr>
            </w:pPr>
          </w:p>
          <w:p w:rsidR="00A240C1" w:rsidRDefault="00A240C1" w:rsidP="00440055">
            <w:pPr>
              <w:rPr>
                <w:rFonts w:ascii="Arial" w:hAnsi="Arial" w:cs="Arial"/>
              </w:rPr>
            </w:pPr>
          </w:p>
          <w:p w:rsidR="00A240C1" w:rsidRDefault="00A240C1" w:rsidP="00440055">
            <w:pPr>
              <w:rPr>
                <w:rFonts w:ascii="Arial" w:hAnsi="Arial" w:cs="Arial"/>
              </w:rPr>
            </w:pPr>
          </w:p>
          <w:p w:rsidR="00A240C1" w:rsidRDefault="00A240C1" w:rsidP="00440055">
            <w:pPr>
              <w:rPr>
                <w:rFonts w:ascii="Arial" w:hAnsi="Arial" w:cs="Arial"/>
              </w:rPr>
            </w:pPr>
          </w:p>
          <w:p w:rsidR="00A240C1" w:rsidRDefault="00A240C1" w:rsidP="00440055">
            <w:pPr>
              <w:rPr>
                <w:rFonts w:ascii="Arial" w:hAnsi="Arial" w:cs="Arial"/>
              </w:rPr>
            </w:pPr>
          </w:p>
          <w:p w:rsidR="00A240C1" w:rsidRDefault="00A240C1" w:rsidP="00440055">
            <w:pPr>
              <w:rPr>
                <w:rFonts w:ascii="Arial" w:hAnsi="Arial" w:cs="Arial"/>
              </w:rPr>
            </w:pPr>
          </w:p>
          <w:p w:rsidR="00A240C1" w:rsidRDefault="00A240C1" w:rsidP="00440055">
            <w:pPr>
              <w:rPr>
                <w:rFonts w:ascii="Arial" w:hAnsi="Arial" w:cs="Arial"/>
              </w:rPr>
            </w:pPr>
          </w:p>
          <w:p w:rsidR="00A240C1" w:rsidRDefault="00A240C1" w:rsidP="00440055">
            <w:pPr>
              <w:rPr>
                <w:rFonts w:ascii="Arial" w:hAnsi="Arial" w:cs="Arial"/>
              </w:rPr>
            </w:pPr>
          </w:p>
          <w:p w:rsidR="00A240C1" w:rsidRDefault="00A240C1" w:rsidP="00440055">
            <w:pPr>
              <w:rPr>
                <w:rFonts w:ascii="Arial" w:hAnsi="Arial" w:cs="Arial"/>
              </w:rPr>
            </w:pPr>
          </w:p>
          <w:p w:rsidR="00A240C1" w:rsidRDefault="00A240C1" w:rsidP="00440055">
            <w:pPr>
              <w:rPr>
                <w:rFonts w:ascii="Arial" w:hAnsi="Arial" w:cs="Arial"/>
              </w:rPr>
            </w:pPr>
          </w:p>
          <w:p w:rsidR="00A240C1" w:rsidRDefault="00A240C1" w:rsidP="00440055">
            <w:pPr>
              <w:rPr>
                <w:rFonts w:ascii="Arial" w:hAnsi="Arial" w:cs="Arial"/>
              </w:rPr>
            </w:pPr>
          </w:p>
        </w:tc>
      </w:tr>
      <w:tr w:rsidR="00A240C1" w:rsidRPr="001B468A" w:rsidTr="00A240C1">
        <w:trPr>
          <w:trHeight w:val="197"/>
        </w:trPr>
        <w:tc>
          <w:tcPr>
            <w:tcW w:w="10206" w:type="dxa"/>
            <w:gridSpan w:val="5"/>
            <w:shd w:val="clear" w:color="auto" w:fill="CCFFFF"/>
          </w:tcPr>
          <w:p w:rsidR="00A240C1" w:rsidRPr="001B468A" w:rsidRDefault="00A240C1" w:rsidP="00440055">
            <w:pPr>
              <w:jc w:val="center"/>
              <w:rPr>
                <w:rFonts w:ascii="Arial" w:hAnsi="Arial" w:cs="Arial"/>
                <w:b/>
              </w:rPr>
            </w:pPr>
            <w:r w:rsidRPr="005D501B">
              <w:rPr>
                <w:rFonts w:ascii="Arial" w:hAnsi="Arial" w:cs="Arial"/>
                <w:b/>
              </w:rPr>
              <w:t>Guidelines for Completion of Submissions</w:t>
            </w:r>
          </w:p>
        </w:tc>
      </w:tr>
      <w:tr w:rsidR="00A240C1" w:rsidRPr="00725D5D" w:rsidTr="00A240C1">
        <w:trPr>
          <w:trHeight w:val="77"/>
        </w:trPr>
        <w:tc>
          <w:tcPr>
            <w:tcW w:w="10206" w:type="dxa"/>
            <w:gridSpan w:val="5"/>
            <w:shd w:val="clear" w:color="auto" w:fill="auto"/>
          </w:tcPr>
          <w:p w:rsidR="00A240C1" w:rsidRDefault="00A240C1" w:rsidP="00440055">
            <w:pPr>
              <w:rPr>
                <w:rFonts w:ascii="Arial" w:hAnsi="Arial" w:cs="Arial"/>
              </w:rPr>
            </w:pPr>
          </w:p>
          <w:p w:rsidR="00A240C1" w:rsidRDefault="00A240C1" w:rsidP="00440055">
            <w:pPr>
              <w:rPr>
                <w:rFonts w:ascii="Arial" w:hAnsi="Arial" w:cs="Arial"/>
              </w:rPr>
            </w:pPr>
            <w:r>
              <w:rPr>
                <w:rFonts w:ascii="Arial" w:hAnsi="Arial" w:cs="Arial"/>
              </w:rPr>
              <w:t xml:space="preserve">The Committee would ask that stakeholders submit </w:t>
            </w:r>
            <w:r w:rsidRPr="001B468A">
              <w:rPr>
                <w:rFonts w:ascii="Arial" w:hAnsi="Arial" w:cs="Arial"/>
                <w:u w:val="single"/>
              </w:rPr>
              <w:t>electronic</w:t>
            </w:r>
            <w:r>
              <w:rPr>
                <w:rFonts w:ascii="Arial" w:hAnsi="Arial" w:cs="Arial"/>
              </w:rPr>
              <w:t xml:space="preserve"> </w:t>
            </w:r>
            <w:r w:rsidRPr="001B468A">
              <w:rPr>
                <w:rFonts w:ascii="Arial" w:hAnsi="Arial" w:cs="Arial"/>
              </w:rPr>
              <w:t>responses</w:t>
            </w:r>
            <w:r>
              <w:rPr>
                <w:rFonts w:ascii="Arial" w:hAnsi="Arial" w:cs="Arial"/>
              </w:rPr>
              <w:t xml:space="preserve"> using this pro forma.</w:t>
            </w:r>
          </w:p>
          <w:p w:rsidR="00A240C1" w:rsidRDefault="00A240C1" w:rsidP="00440055">
            <w:pPr>
              <w:rPr>
                <w:rFonts w:ascii="Arial" w:hAnsi="Arial" w:cs="Arial"/>
              </w:rPr>
            </w:pPr>
          </w:p>
          <w:p w:rsidR="00A240C1" w:rsidRDefault="00A240C1" w:rsidP="00440055">
            <w:pPr>
              <w:rPr>
                <w:rFonts w:ascii="Arial" w:hAnsi="Arial" w:cs="Arial"/>
              </w:rPr>
            </w:pPr>
            <w:r>
              <w:rPr>
                <w:rFonts w:ascii="Arial" w:hAnsi="Arial" w:cs="Arial"/>
              </w:rPr>
              <w:t xml:space="preserve">Stakeholders should be aware that their written evidence will be discussed by the Committee in public session and included in the Committee’s published Report.  </w:t>
            </w:r>
          </w:p>
          <w:p w:rsidR="00A240C1" w:rsidRDefault="00A240C1" w:rsidP="00440055">
            <w:pPr>
              <w:rPr>
                <w:rFonts w:ascii="Arial" w:hAnsi="Arial" w:cs="Arial"/>
              </w:rPr>
            </w:pPr>
          </w:p>
          <w:p w:rsidR="00A240C1" w:rsidRDefault="00A240C1" w:rsidP="00440055">
            <w:pPr>
              <w:rPr>
                <w:rFonts w:ascii="Arial" w:hAnsi="Arial" w:cs="Arial"/>
              </w:rPr>
            </w:pPr>
            <w:r>
              <w:rPr>
                <w:rFonts w:ascii="Arial" w:hAnsi="Arial" w:cs="Arial"/>
              </w:rPr>
              <w:t xml:space="preserve">Stakeholders should also be aware that if they decide to publish their submissions, the publication would not be covered by Assembly privilege in relation to the law of defamation. </w:t>
            </w:r>
          </w:p>
          <w:p w:rsidR="007D7D6B" w:rsidRDefault="007D7D6B" w:rsidP="00440055">
            <w:pPr>
              <w:rPr>
                <w:rFonts w:ascii="Arial" w:hAnsi="Arial" w:cs="Arial"/>
              </w:rPr>
            </w:pPr>
          </w:p>
          <w:p w:rsidR="007D7D6B" w:rsidRDefault="007D7D6B" w:rsidP="00440055">
            <w:pPr>
              <w:rPr>
                <w:rFonts w:ascii="Arial" w:hAnsi="Arial" w:cs="Arial"/>
                <w:b/>
                <w:color w:val="FF0000"/>
              </w:rPr>
            </w:pPr>
            <w:r w:rsidRPr="007D7D6B">
              <w:rPr>
                <w:rFonts w:ascii="Arial" w:hAnsi="Arial" w:cs="Arial"/>
                <w:b/>
              </w:rPr>
              <w:t xml:space="preserve">Closing date for submissions is: </w:t>
            </w:r>
            <w:r w:rsidRPr="007D7D6B">
              <w:rPr>
                <w:rFonts w:ascii="Arial" w:hAnsi="Arial" w:cs="Arial"/>
                <w:b/>
                <w:color w:val="FF0000"/>
              </w:rPr>
              <w:t xml:space="preserve"> </w:t>
            </w:r>
            <w:r w:rsidR="00D95343">
              <w:rPr>
                <w:rFonts w:ascii="Arial" w:hAnsi="Arial" w:cs="Arial"/>
                <w:b/>
                <w:color w:val="FF0000"/>
              </w:rPr>
              <w:t xml:space="preserve">Tuesday </w:t>
            </w:r>
            <w:r w:rsidR="00717F9D">
              <w:rPr>
                <w:rFonts w:ascii="Arial" w:hAnsi="Arial" w:cs="Arial"/>
                <w:b/>
                <w:color w:val="FF0000"/>
              </w:rPr>
              <w:t>10</w:t>
            </w:r>
            <w:r w:rsidR="00D95343">
              <w:rPr>
                <w:rFonts w:ascii="Arial" w:hAnsi="Arial" w:cs="Arial"/>
                <w:b/>
                <w:color w:val="FF0000"/>
              </w:rPr>
              <w:t xml:space="preserve"> November</w:t>
            </w:r>
            <w:r>
              <w:rPr>
                <w:rFonts w:ascii="Arial" w:hAnsi="Arial" w:cs="Arial"/>
                <w:b/>
                <w:color w:val="FF0000"/>
              </w:rPr>
              <w:t xml:space="preserve"> 2015 </w:t>
            </w:r>
          </w:p>
          <w:p w:rsidR="007D7D6B" w:rsidRDefault="007D7D6B" w:rsidP="00440055">
            <w:pPr>
              <w:rPr>
                <w:rFonts w:ascii="Arial" w:hAnsi="Arial" w:cs="Arial"/>
                <w:b/>
                <w:color w:val="FF0000"/>
              </w:rPr>
            </w:pPr>
          </w:p>
          <w:p w:rsidR="00A360E8" w:rsidRDefault="007D7D6B" w:rsidP="00440055">
            <w:pPr>
              <w:rPr>
                <w:rFonts w:ascii="Arial" w:hAnsi="Arial" w:cs="Arial"/>
                <w:b/>
              </w:rPr>
            </w:pPr>
            <w:r>
              <w:rPr>
                <w:rFonts w:ascii="Arial" w:hAnsi="Arial" w:cs="Arial"/>
                <w:b/>
              </w:rPr>
              <w:t>Submissions should</w:t>
            </w:r>
            <w:r w:rsidRPr="007D7D6B">
              <w:rPr>
                <w:rFonts w:ascii="Arial" w:hAnsi="Arial" w:cs="Arial"/>
                <w:b/>
              </w:rPr>
              <w:t xml:space="preserve"> be submitted to</w:t>
            </w:r>
            <w:r w:rsidR="00A360E8">
              <w:rPr>
                <w:rFonts w:ascii="Arial" w:hAnsi="Arial" w:cs="Arial"/>
                <w:b/>
              </w:rPr>
              <w:t xml:space="preserve">: </w:t>
            </w:r>
            <w:hyperlink r:id="rId9" w:history="1">
              <w:r w:rsidR="00A360E8" w:rsidRPr="00085AF3">
                <w:rPr>
                  <w:rStyle w:val="Hyperlink"/>
                  <w:rFonts w:ascii="Arial" w:hAnsi="Arial" w:cs="Arial"/>
                  <w:b/>
                </w:rPr>
                <w:t>committee.assembly&amp;executivereview@niassembly.gov.uk</w:t>
              </w:r>
            </w:hyperlink>
          </w:p>
          <w:p w:rsidR="007D7D6B" w:rsidRDefault="007D7D6B" w:rsidP="00440055">
            <w:pPr>
              <w:rPr>
                <w:rFonts w:ascii="Arial" w:hAnsi="Arial" w:cs="Arial"/>
                <w:b/>
                <w:color w:val="FF0000"/>
              </w:rPr>
            </w:pPr>
          </w:p>
          <w:p w:rsidR="007D7D6B" w:rsidRPr="007D7D6B" w:rsidRDefault="00E15404" w:rsidP="00E15404">
            <w:pPr>
              <w:tabs>
                <w:tab w:val="left" w:pos="2713"/>
              </w:tabs>
              <w:rPr>
                <w:rFonts w:ascii="Arial" w:hAnsi="Arial" w:cs="Arial"/>
                <w:b/>
                <w:color w:val="FF0000"/>
              </w:rPr>
            </w:pPr>
            <w:r>
              <w:rPr>
                <w:rFonts w:ascii="Arial" w:hAnsi="Arial" w:cs="Arial"/>
                <w:b/>
                <w:color w:val="FF0000"/>
              </w:rPr>
              <w:tab/>
            </w:r>
          </w:p>
          <w:p w:rsidR="00A240C1" w:rsidRPr="00725D5D" w:rsidRDefault="00A240C1" w:rsidP="00440055">
            <w:pPr>
              <w:rPr>
                <w:rFonts w:ascii="Arial" w:hAnsi="Arial" w:cs="Arial"/>
              </w:rPr>
            </w:pPr>
            <w:r>
              <w:rPr>
                <w:rFonts w:ascii="Arial" w:hAnsi="Arial" w:cs="Arial"/>
              </w:rPr>
              <w:t xml:space="preserve"> </w:t>
            </w:r>
          </w:p>
        </w:tc>
      </w:tr>
    </w:tbl>
    <w:p w:rsidR="00A240C1" w:rsidRDefault="00A240C1">
      <w:pPr>
        <w:spacing w:after="200" w:line="276" w:lineRule="auto"/>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240C1" w:rsidRPr="00725D5D" w:rsidTr="006C7E3C">
        <w:trPr>
          <w:trHeight w:val="507"/>
        </w:trPr>
        <w:tc>
          <w:tcPr>
            <w:tcW w:w="10206" w:type="dxa"/>
            <w:shd w:val="clear" w:color="auto" w:fill="C6D9F1"/>
          </w:tcPr>
          <w:p w:rsidR="00A240C1" w:rsidRPr="00725D5D" w:rsidRDefault="00A240C1" w:rsidP="00440055">
            <w:pPr>
              <w:rPr>
                <w:rFonts w:ascii="Arial" w:hAnsi="Arial" w:cs="Arial"/>
              </w:rPr>
            </w:pPr>
          </w:p>
          <w:p w:rsidR="00A240C1" w:rsidRDefault="00A240C1" w:rsidP="00440055">
            <w:pPr>
              <w:jc w:val="center"/>
              <w:rPr>
                <w:rFonts w:ascii="Arial" w:hAnsi="Arial" w:cs="Arial"/>
                <w:b/>
              </w:rPr>
            </w:pPr>
            <w:r w:rsidRPr="00725D5D">
              <w:rPr>
                <w:rFonts w:ascii="Arial" w:hAnsi="Arial" w:cs="Arial"/>
                <w:b/>
              </w:rPr>
              <w:t>Secti</w:t>
            </w:r>
            <w:r>
              <w:rPr>
                <w:rFonts w:ascii="Arial" w:hAnsi="Arial" w:cs="Arial"/>
                <w:b/>
              </w:rPr>
              <w:t xml:space="preserve">on 2 </w:t>
            </w:r>
          </w:p>
          <w:p w:rsidR="00A240C1" w:rsidRDefault="00A240C1" w:rsidP="00440055">
            <w:pPr>
              <w:jc w:val="center"/>
              <w:rPr>
                <w:rFonts w:ascii="Arial" w:hAnsi="Arial" w:cs="Arial"/>
                <w:b/>
              </w:rPr>
            </w:pPr>
          </w:p>
          <w:p w:rsidR="00A240C1" w:rsidRPr="00B731DF" w:rsidRDefault="00A240C1" w:rsidP="00440055">
            <w:pPr>
              <w:jc w:val="center"/>
              <w:rPr>
                <w:rFonts w:ascii="Arial" w:hAnsi="Arial" w:cs="Arial"/>
                <w:b/>
                <w:u w:val="single"/>
              </w:rPr>
            </w:pPr>
            <w:r w:rsidRPr="00B731DF">
              <w:rPr>
                <w:rFonts w:ascii="Arial" w:hAnsi="Arial" w:cs="Arial"/>
                <w:b/>
                <w:u w:val="single"/>
              </w:rPr>
              <w:t>Introduction</w:t>
            </w:r>
          </w:p>
          <w:p w:rsidR="00A240C1" w:rsidRPr="00725D5D" w:rsidRDefault="00A240C1" w:rsidP="00440055">
            <w:pPr>
              <w:jc w:val="center"/>
              <w:rPr>
                <w:rFonts w:ascii="Arial" w:hAnsi="Arial" w:cs="Arial"/>
                <w:b/>
              </w:rPr>
            </w:pPr>
          </w:p>
        </w:tc>
      </w:tr>
      <w:tr w:rsidR="00A240C1" w:rsidRPr="00725D5D" w:rsidTr="006C7E3C">
        <w:trPr>
          <w:trHeight w:val="77"/>
        </w:trPr>
        <w:tc>
          <w:tcPr>
            <w:tcW w:w="10206" w:type="dxa"/>
            <w:shd w:val="clear" w:color="auto" w:fill="EAF1DD"/>
          </w:tcPr>
          <w:p w:rsidR="00A240C1" w:rsidRPr="00725D5D" w:rsidRDefault="00A240C1" w:rsidP="00440055">
            <w:pPr>
              <w:pStyle w:val="q3motion"/>
              <w:tabs>
                <w:tab w:val="left" w:pos="971"/>
              </w:tabs>
              <w:ind w:left="0" w:firstLine="0"/>
              <w:rPr>
                <w:i w:val="0"/>
                <w:sz w:val="24"/>
                <w:szCs w:val="24"/>
              </w:rPr>
            </w:pPr>
          </w:p>
          <w:p w:rsidR="00A240C1" w:rsidRPr="00C00015" w:rsidRDefault="00A240C1" w:rsidP="00440055">
            <w:pPr>
              <w:ind w:left="426"/>
              <w:rPr>
                <w:rFonts w:ascii="Arial" w:hAnsi="Arial" w:cs="Arial"/>
                <w:b/>
                <w:u w:val="single"/>
              </w:rPr>
            </w:pPr>
            <w:r w:rsidRPr="00C00015">
              <w:rPr>
                <w:rFonts w:ascii="Arial" w:hAnsi="Arial" w:cs="Arial"/>
                <w:b/>
                <w:u w:val="single"/>
              </w:rPr>
              <w:t>Powers</w:t>
            </w:r>
          </w:p>
          <w:p w:rsidR="00A240C1" w:rsidRDefault="00A240C1" w:rsidP="00A240C1">
            <w:pPr>
              <w:numPr>
                <w:ilvl w:val="1"/>
                <w:numId w:val="8"/>
              </w:numPr>
              <w:spacing w:before="100" w:beforeAutospacing="1" w:after="100" w:afterAutospacing="1"/>
              <w:ind w:left="709" w:hanging="709"/>
              <w:rPr>
                <w:rFonts w:ascii="Arial" w:hAnsi="Arial" w:cs="Arial"/>
                <w:color w:val="000000"/>
                <w:lang w:eastAsia="en-GB"/>
              </w:rPr>
            </w:pPr>
            <w:r w:rsidRPr="004F2372">
              <w:rPr>
                <w:rFonts w:ascii="Arial" w:hAnsi="Arial" w:cs="Arial"/>
                <w:color w:val="000000"/>
                <w:lang w:eastAsia="en-GB"/>
              </w:rPr>
              <w:t>The Assembly and Executive Review Committee is a Standing Committee established in accordance with Section 29A and 29B of the Northern Ireland Act 1998</w:t>
            </w:r>
            <w:r>
              <w:rPr>
                <w:rFonts w:ascii="Arial" w:hAnsi="Arial" w:cs="Arial"/>
                <w:color w:val="000000"/>
                <w:lang w:eastAsia="en-GB"/>
              </w:rPr>
              <w:t xml:space="preserve"> (“the 1998 Act”)</w:t>
            </w:r>
            <w:r w:rsidRPr="004F2372">
              <w:rPr>
                <w:rFonts w:ascii="Arial" w:hAnsi="Arial" w:cs="Arial"/>
                <w:color w:val="000000"/>
                <w:lang w:eastAsia="en-GB"/>
              </w:rPr>
              <w:t xml:space="preserve"> and Standing Order 59 whic</w:t>
            </w:r>
            <w:r>
              <w:rPr>
                <w:rFonts w:ascii="Arial" w:hAnsi="Arial" w:cs="Arial"/>
                <w:color w:val="000000"/>
                <w:lang w:eastAsia="en-GB"/>
              </w:rPr>
              <w:t>h, amongst other powers, provide for the Committee to:</w:t>
            </w:r>
          </w:p>
          <w:p w:rsidR="00A240C1" w:rsidRDefault="00A240C1" w:rsidP="00A240C1">
            <w:pPr>
              <w:numPr>
                <w:ilvl w:val="0"/>
                <w:numId w:val="12"/>
              </w:numPr>
              <w:spacing w:before="100" w:beforeAutospacing="1" w:after="100" w:afterAutospacing="1"/>
              <w:ind w:left="1276" w:hanging="425"/>
              <w:rPr>
                <w:rFonts w:ascii="Arial" w:hAnsi="Arial" w:cs="Arial"/>
                <w:color w:val="000000"/>
                <w:lang w:eastAsia="en-GB"/>
              </w:rPr>
            </w:pPr>
            <w:r w:rsidRPr="004D68E4">
              <w:rPr>
                <w:rFonts w:ascii="Arial" w:hAnsi="Arial" w:cs="Arial"/>
                <w:color w:val="000000"/>
                <w:lang w:eastAsia="en-GB"/>
              </w:rPr>
              <w:t xml:space="preserve">make a report to the Secretary of State, the Assembly and the Executive Committee, by no later than 1 May 2015, on the operation of Parts III and IV of the Northern Ireland Act 1998; and </w:t>
            </w:r>
          </w:p>
          <w:p w:rsidR="00A240C1" w:rsidRDefault="00A240C1" w:rsidP="00A240C1">
            <w:pPr>
              <w:numPr>
                <w:ilvl w:val="0"/>
                <w:numId w:val="12"/>
              </w:numPr>
              <w:spacing w:before="100" w:beforeAutospacing="1" w:after="100" w:afterAutospacing="1"/>
              <w:ind w:left="1276" w:hanging="425"/>
              <w:rPr>
                <w:rFonts w:ascii="Arial" w:hAnsi="Arial" w:cs="Arial"/>
                <w:color w:val="000000"/>
                <w:lang w:eastAsia="en-GB"/>
              </w:rPr>
            </w:pPr>
            <w:proofErr w:type="gramStart"/>
            <w:r w:rsidRPr="003E7DF1">
              <w:rPr>
                <w:rFonts w:ascii="Arial" w:hAnsi="Arial" w:cs="Arial"/>
                <w:color w:val="000000"/>
                <w:lang w:eastAsia="en-GB"/>
              </w:rPr>
              <w:t>consider</w:t>
            </w:r>
            <w:proofErr w:type="gramEnd"/>
            <w:r w:rsidRPr="003E7DF1">
              <w:rPr>
                <w:rFonts w:ascii="Arial" w:hAnsi="Arial" w:cs="Arial"/>
                <w:color w:val="000000"/>
                <w:lang w:eastAsia="en-GB"/>
              </w:rPr>
              <w:t xml:space="preserve"> such other matters relating to the functioning of the Assembly or the Executive as may be referred to it by the Assembly. </w:t>
            </w:r>
          </w:p>
          <w:p w:rsidR="00A240C1" w:rsidRDefault="00A240C1" w:rsidP="00440055">
            <w:pPr>
              <w:pStyle w:val="ListParagraph"/>
              <w:rPr>
                <w:rFonts w:ascii="Arial" w:eastAsia="Arial Unicode MS" w:hAnsi="Arial" w:cs="Arial"/>
                <w:lang w:val="en-US"/>
              </w:rPr>
            </w:pPr>
          </w:p>
          <w:p w:rsidR="006C7E3C" w:rsidRDefault="006C7E3C" w:rsidP="00440055">
            <w:pPr>
              <w:pStyle w:val="ListParagraph"/>
              <w:rPr>
                <w:rFonts w:ascii="Arial" w:eastAsia="Arial Unicode MS" w:hAnsi="Arial" w:cs="Arial"/>
                <w:lang w:val="en-US"/>
              </w:rPr>
            </w:pPr>
          </w:p>
          <w:p w:rsidR="006C7E3C" w:rsidRDefault="006C7E3C" w:rsidP="00440055">
            <w:pPr>
              <w:pStyle w:val="ListParagraph"/>
              <w:rPr>
                <w:rFonts w:ascii="Arial" w:eastAsia="Arial Unicode MS" w:hAnsi="Arial" w:cs="Arial"/>
                <w:lang w:val="en-US"/>
              </w:rPr>
            </w:pPr>
          </w:p>
          <w:p w:rsidR="006C7E3C" w:rsidRDefault="006C7E3C" w:rsidP="00440055">
            <w:pPr>
              <w:pStyle w:val="ListParagraph"/>
              <w:rPr>
                <w:rFonts w:ascii="Arial" w:eastAsia="Arial Unicode MS" w:hAnsi="Arial" w:cs="Arial"/>
                <w:lang w:val="en-US"/>
              </w:rPr>
            </w:pPr>
          </w:p>
          <w:p w:rsidR="00A240C1" w:rsidRDefault="006C7E3C" w:rsidP="006C7E3C">
            <w:pPr>
              <w:pStyle w:val="q3motion"/>
              <w:ind w:left="0" w:firstLine="426"/>
              <w:jc w:val="center"/>
              <w:rPr>
                <w:rFonts w:eastAsia="Arial Unicode MS"/>
                <w:lang w:val="en-US"/>
              </w:rPr>
            </w:pPr>
            <w:r>
              <w:rPr>
                <w:b/>
                <w:i w:val="0"/>
                <w:sz w:val="24"/>
                <w:szCs w:val="24"/>
                <w:u w:val="single"/>
              </w:rPr>
              <w:t>Committee Stage of the Assembly and Executive Reform (Assembly Opposition) Bill</w:t>
            </w:r>
          </w:p>
          <w:p w:rsidR="00A240C1" w:rsidRPr="00C47404" w:rsidRDefault="006C7E3C" w:rsidP="00A240C1">
            <w:pPr>
              <w:numPr>
                <w:ilvl w:val="1"/>
                <w:numId w:val="8"/>
              </w:numPr>
              <w:contextualSpacing/>
              <w:rPr>
                <w:rFonts w:ascii="Arial" w:eastAsia="Arial Unicode MS" w:hAnsi="Arial" w:cs="Arial"/>
                <w:lang w:val="en-US"/>
              </w:rPr>
            </w:pPr>
            <w:r>
              <w:rPr>
                <w:rFonts w:ascii="Arial" w:hAnsi="Arial" w:cs="Arial"/>
              </w:rPr>
              <w:t xml:space="preserve">Following </w:t>
            </w:r>
            <w:r w:rsidR="00D95343">
              <w:rPr>
                <w:rFonts w:ascii="Arial" w:hAnsi="Arial" w:cs="Arial"/>
              </w:rPr>
              <w:t>approval at</w:t>
            </w:r>
            <w:r>
              <w:rPr>
                <w:rFonts w:ascii="Arial" w:hAnsi="Arial" w:cs="Arial"/>
              </w:rPr>
              <w:t xml:space="preserve"> the Second Stage on</w:t>
            </w:r>
            <w:r w:rsidR="00D95343">
              <w:rPr>
                <w:rFonts w:ascii="Arial" w:hAnsi="Arial" w:cs="Arial"/>
              </w:rPr>
              <w:t xml:space="preserve"> Monday 12</w:t>
            </w:r>
            <w:r>
              <w:rPr>
                <w:rFonts w:ascii="Arial" w:hAnsi="Arial" w:cs="Arial"/>
              </w:rPr>
              <w:t xml:space="preserve"> October 2015, the Bill was referred to the Assembly and Executive Review Committee</w:t>
            </w:r>
            <w:r w:rsidR="00D95343">
              <w:rPr>
                <w:rFonts w:ascii="Arial" w:hAnsi="Arial" w:cs="Arial"/>
              </w:rPr>
              <w:t xml:space="preserve"> which has responsibility for Committee Stage of the Bill.</w:t>
            </w:r>
            <w:r>
              <w:rPr>
                <w:rFonts w:ascii="Arial" w:hAnsi="Arial" w:cs="Arial"/>
              </w:rPr>
              <w:t xml:space="preserve">  </w:t>
            </w:r>
            <w:r w:rsidR="00D95343">
              <w:rPr>
                <w:rFonts w:ascii="Arial" w:hAnsi="Arial" w:cs="Arial"/>
              </w:rPr>
              <w:t>To assist its scrutiny of the Bill,</w:t>
            </w:r>
            <w:r>
              <w:rPr>
                <w:rFonts w:ascii="Arial" w:hAnsi="Arial" w:cs="Arial"/>
              </w:rPr>
              <w:t xml:space="preserve"> </w:t>
            </w:r>
            <w:r>
              <w:rPr>
                <w:rFonts w:ascii="Arial" w:hAnsi="Arial" w:cs="Arial"/>
                <w:lang w:val="en-US"/>
              </w:rPr>
              <w:t xml:space="preserve">the Assembly and Executive Review Committee will consider and take evidence on the provisions of the Bill and report its opinion thereon to the Assembly. </w:t>
            </w:r>
          </w:p>
          <w:p w:rsidR="00A240C1" w:rsidRPr="007916DE" w:rsidRDefault="00A240C1" w:rsidP="00440055">
            <w:pPr>
              <w:pStyle w:val="q3motion"/>
              <w:spacing w:after="0" w:afterAutospacing="0" w:line="240" w:lineRule="auto"/>
              <w:ind w:left="720" w:firstLine="0"/>
              <w:rPr>
                <w:i w:val="0"/>
                <w:iCs w:val="0"/>
                <w:color w:val="auto"/>
                <w:sz w:val="24"/>
                <w:szCs w:val="24"/>
                <w:lang w:val="en-US" w:eastAsia="en-US"/>
              </w:rPr>
            </w:pPr>
          </w:p>
          <w:p w:rsidR="00A240C1" w:rsidRDefault="00A240C1" w:rsidP="00440055">
            <w:pPr>
              <w:rPr>
                <w:rFonts w:ascii="Arial" w:hAnsi="Arial" w:cs="Arial"/>
              </w:rPr>
            </w:pPr>
          </w:p>
          <w:p w:rsidR="00A240C1" w:rsidRDefault="00A240C1" w:rsidP="00440055">
            <w:pPr>
              <w:rPr>
                <w:rFonts w:ascii="Arial" w:hAnsi="Arial" w:cs="Arial"/>
              </w:rPr>
            </w:pPr>
          </w:p>
          <w:p w:rsidR="00A240C1" w:rsidRPr="00725D5D" w:rsidRDefault="00A240C1" w:rsidP="00440055">
            <w:pPr>
              <w:rPr>
                <w:rFonts w:ascii="Arial" w:hAnsi="Arial" w:cs="Arial"/>
              </w:rPr>
            </w:pPr>
          </w:p>
        </w:tc>
      </w:tr>
    </w:tbl>
    <w:p w:rsidR="00334A99" w:rsidRDefault="00334A99" w:rsidP="00A240C1"/>
    <w:p w:rsidR="00334A99" w:rsidRDefault="00334A99">
      <w:pPr>
        <w:spacing w:after="200" w:line="276" w:lineRule="auto"/>
      </w:pPr>
      <w: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34A99" w:rsidRPr="00725D5D" w:rsidTr="00334A99">
        <w:trPr>
          <w:trHeight w:val="979"/>
        </w:trPr>
        <w:tc>
          <w:tcPr>
            <w:tcW w:w="10206" w:type="dxa"/>
            <w:shd w:val="clear" w:color="auto" w:fill="C6D9F1"/>
          </w:tcPr>
          <w:p w:rsidR="00334A99" w:rsidRDefault="00334A99" w:rsidP="00D6521C">
            <w:pPr>
              <w:jc w:val="center"/>
              <w:rPr>
                <w:rFonts w:ascii="Arial" w:hAnsi="Arial" w:cs="Arial"/>
                <w:b/>
              </w:rPr>
            </w:pPr>
            <w:r w:rsidRPr="00725D5D">
              <w:rPr>
                <w:rFonts w:ascii="Arial" w:hAnsi="Arial" w:cs="Arial"/>
                <w:b/>
              </w:rPr>
              <w:lastRenderedPageBreak/>
              <w:t xml:space="preserve">Section </w:t>
            </w:r>
            <w:r>
              <w:rPr>
                <w:rFonts w:ascii="Arial" w:hAnsi="Arial" w:cs="Arial"/>
                <w:b/>
              </w:rPr>
              <w:t>3</w:t>
            </w:r>
          </w:p>
          <w:p w:rsidR="00D6521C" w:rsidRDefault="00D6521C" w:rsidP="00440055">
            <w:pPr>
              <w:jc w:val="center"/>
              <w:rPr>
                <w:rFonts w:ascii="Arial" w:hAnsi="Arial" w:cs="Arial"/>
                <w:b/>
              </w:rPr>
            </w:pPr>
          </w:p>
          <w:p w:rsidR="00334A99" w:rsidRPr="00B731DF" w:rsidRDefault="00334A99" w:rsidP="00440055">
            <w:pPr>
              <w:jc w:val="center"/>
              <w:rPr>
                <w:rFonts w:ascii="Arial" w:hAnsi="Arial" w:cs="Arial"/>
                <w:b/>
                <w:u w:val="single"/>
              </w:rPr>
            </w:pPr>
            <w:r>
              <w:rPr>
                <w:rFonts w:ascii="Arial" w:hAnsi="Arial" w:cs="Arial"/>
                <w:b/>
                <w:u w:val="single"/>
              </w:rPr>
              <w:t>BACKGROUND</w:t>
            </w:r>
          </w:p>
          <w:p w:rsidR="00334A99" w:rsidRDefault="00334A99" w:rsidP="00440055">
            <w:pPr>
              <w:rPr>
                <w:rFonts w:ascii="Arial" w:hAnsi="Arial" w:cs="Arial"/>
                <w:b/>
              </w:rPr>
            </w:pPr>
          </w:p>
          <w:p w:rsidR="00334A99" w:rsidRPr="00D6521C" w:rsidRDefault="00334A99" w:rsidP="00D6521C">
            <w:pPr>
              <w:jc w:val="center"/>
              <w:rPr>
                <w:rFonts w:ascii="Arial" w:hAnsi="Arial" w:cs="Arial"/>
                <w:b/>
              </w:rPr>
            </w:pPr>
            <w:r>
              <w:rPr>
                <w:rFonts w:ascii="Arial" w:hAnsi="Arial" w:cs="Arial"/>
                <w:b/>
              </w:rPr>
              <w:t xml:space="preserve">This section provides some background information on </w:t>
            </w:r>
            <w:r w:rsidR="00D6521C">
              <w:rPr>
                <w:rFonts w:ascii="Arial" w:hAnsi="Arial" w:cs="Arial"/>
                <w:b/>
              </w:rPr>
              <w:t xml:space="preserve">the Assembly and Executive Reform (Assembly Opposition) Bill </w:t>
            </w:r>
          </w:p>
        </w:tc>
      </w:tr>
      <w:tr w:rsidR="00334A99" w:rsidRPr="00725D5D" w:rsidTr="005E1EF2">
        <w:trPr>
          <w:trHeight w:val="77"/>
        </w:trPr>
        <w:tc>
          <w:tcPr>
            <w:tcW w:w="10206" w:type="dxa"/>
            <w:shd w:val="clear" w:color="auto" w:fill="EAF1DD"/>
          </w:tcPr>
          <w:p w:rsidR="00334A99" w:rsidRPr="0079418C" w:rsidRDefault="00334A99" w:rsidP="00D6521C">
            <w:pPr>
              <w:rPr>
                <w:rFonts w:ascii="Arial" w:hAnsi="Arial" w:cs="Arial"/>
              </w:rPr>
            </w:pPr>
          </w:p>
          <w:p w:rsidR="00334A99" w:rsidRDefault="00334A99" w:rsidP="00334A99">
            <w:pPr>
              <w:numPr>
                <w:ilvl w:val="1"/>
                <w:numId w:val="14"/>
              </w:numPr>
              <w:ind w:left="709"/>
              <w:rPr>
                <w:rFonts w:ascii="Arial" w:hAnsi="Arial" w:cs="Arial"/>
              </w:rPr>
            </w:pPr>
            <w:r w:rsidRPr="00015331">
              <w:rPr>
                <w:rFonts w:ascii="Arial" w:hAnsi="Arial" w:cs="Arial"/>
              </w:rPr>
              <w:t>The Northern Ireland Assembly can bring about some changes to how the Assembly operates. For example, some changes might require amendments to the Standing Orders of the Assembly and it is for the Assembly to agree any such changes on a cross-community basis.  However, it can only legislate on matters that have been transferred to the Assembly by the UK Parliament, or with the consent of the Secretary of State for Northern Ireland in relation to reserved matters</w:t>
            </w:r>
            <w:r>
              <w:rPr>
                <w:rFonts w:ascii="Arial" w:hAnsi="Arial" w:cs="Arial"/>
              </w:rPr>
              <w:t xml:space="preserve"> or excepted matters that are ancillary to other provisions dealing with reserved or transferred matters</w:t>
            </w:r>
            <w:r w:rsidRPr="00015331">
              <w:rPr>
                <w:rFonts w:ascii="Arial" w:hAnsi="Arial" w:cs="Arial"/>
              </w:rPr>
              <w:t xml:space="preserve">.  In other areas, the UK Parliament has the power to introduce legislative change — that is, excepted matters. </w:t>
            </w:r>
          </w:p>
          <w:p w:rsidR="00304595" w:rsidRDefault="00304595" w:rsidP="00304595">
            <w:pPr>
              <w:ind w:left="709"/>
              <w:rPr>
                <w:rFonts w:ascii="Arial" w:hAnsi="Arial" w:cs="Arial"/>
              </w:rPr>
            </w:pPr>
          </w:p>
          <w:p w:rsidR="00304595" w:rsidRPr="00304595" w:rsidRDefault="00304595" w:rsidP="00304595">
            <w:pPr>
              <w:rPr>
                <w:rFonts w:ascii="Arial" w:hAnsi="Arial" w:cs="Arial"/>
                <w:b/>
                <w:color w:val="000000"/>
                <w:lang w:eastAsia="en-GB"/>
              </w:rPr>
            </w:pPr>
            <w:r w:rsidRPr="00304595">
              <w:rPr>
                <w:rFonts w:ascii="Arial" w:hAnsi="Arial" w:cs="Arial"/>
                <w:b/>
                <w:color w:val="000000"/>
                <w:lang w:eastAsia="en-GB"/>
              </w:rPr>
              <w:t xml:space="preserve">Consideration of Assembly and Executive Reform by UK Government </w:t>
            </w:r>
          </w:p>
          <w:p w:rsidR="00334A99" w:rsidRPr="00304595" w:rsidRDefault="00334A99" w:rsidP="00440055">
            <w:pPr>
              <w:ind w:left="709"/>
              <w:rPr>
                <w:rFonts w:ascii="Arial" w:hAnsi="Arial" w:cs="Arial"/>
                <w:b/>
              </w:rPr>
            </w:pPr>
          </w:p>
          <w:p w:rsidR="00334A99" w:rsidRPr="00015331" w:rsidRDefault="00334A99" w:rsidP="00334A99">
            <w:pPr>
              <w:numPr>
                <w:ilvl w:val="1"/>
                <w:numId w:val="14"/>
              </w:numPr>
              <w:ind w:left="709"/>
              <w:rPr>
                <w:rFonts w:ascii="Arial" w:hAnsi="Arial" w:cs="Arial"/>
              </w:rPr>
            </w:pPr>
            <w:r w:rsidRPr="00015331">
              <w:rPr>
                <w:rFonts w:ascii="Arial" w:hAnsi="Arial" w:cs="Arial"/>
                <w:color w:val="000000"/>
                <w:lang w:eastAsia="en-GB"/>
              </w:rPr>
              <w:t xml:space="preserve">In August 2012, the then Secretary of State for Northern Ireland launched a consultation entitled, </w:t>
            </w:r>
            <w:r w:rsidRPr="00015331">
              <w:rPr>
                <w:rFonts w:ascii="Arial" w:hAnsi="Arial" w:cs="Arial"/>
                <w:i/>
                <w:color w:val="000000"/>
                <w:lang w:eastAsia="en-GB"/>
              </w:rPr>
              <w:t>‘</w:t>
            </w:r>
            <w:r w:rsidRPr="00304595">
              <w:rPr>
                <w:rFonts w:ascii="Arial" w:hAnsi="Arial" w:cs="Arial"/>
                <w:bCs/>
                <w:i/>
                <w:color w:val="000000"/>
                <w:lang w:eastAsia="en-GB"/>
              </w:rPr>
              <w:t>Consultation on measures to improve the operation of the Northern Ireland Assembly’</w:t>
            </w:r>
            <w:r w:rsidRPr="00015331">
              <w:rPr>
                <w:rFonts w:ascii="Arial" w:hAnsi="Arial" w:cs="Arial"/>
                <w:bCs/>
                <w:color w:val="000000"/>
                <w:lang w:eastAsia="en-GB"/>
              </w:rPr>
              <w:t xml:space="preserve">, one of the key areas of which was </w:t>
            </w:r>
            <w:r w:rsidRPr="00015331">
              <w:rPr>
                <w:rFonts w:ascii="Arial" w:hAnsi="Arial" w:cs="Arial"/>
                <w:bCs/>
                <w:i/>
                <w:color w:val="000000"/>
                <w:lang w:eastAsia="en-GB"/>
              </w:rPr>
              <w:t>“</w:t>
            </w:r>
            <w:r w:rsidRPr="00304595">
              <w:rPr>
                <w:rFonts w:ascii="Arial" w:hAnsi="Arial" w:cs="Arial"/>
                <w:bCs/>
                <w:i/>
                <w:color w:val="000000"/>
                <w:lang w:eastAsia="en-GB"/>
              </w:rPr>
              <w:t>Government and Opposition”</w:t>
            </w:r>
            <w:r w:rsidRPr="00015331">
              <w:rPr>
                <w:rFonts w:ascii="Arial" w:hAnsi="Arial" w:cs="Arial"/>
                <w:bCs/>
                <w:color w:val="000000"/>
                <w:lang w:eastAsia="en-GB"/>
              </w:rPr>
              <w:t>.  The consultation highlighted that the Northern Ireland Executive currently operates as a five-party coalition, as this has been important in ensuring that all parts of the community are adequately represented in government.  The Secretary of State pointed out that the present structure of government is derived from the 1998</w:t>
            </w:r>
            <w:r>
              <w:rPr>
                <w:rFonts w:ascii="Arial" w:hAnsi="Arial" w:cs="Arial"/>
                <w:bCs/>
                <w:color w:val="000000"/>
                <w:lang w:eastAsia="en-GB"/>
              </w:rPr>
              <w:t xml:space="preserve"> Act</w:t>
            </w:r>
            <w:r w:rsidRPr="00015331">
              <w:rPr>
                <w:rFonts w:ascii="Arial" w:hAnsi="Arial" w:cs="Arial"/>
                <w:bCs/>
                <w:color w:val="000000"/>
                <w:lang w:eastAsia="en-GB"/>
              </w:rPr>
              <w:t xml:space="preserve">, which recognised that inclusive power-sharing is essential in Northern Ireland. </w:t>
            </w:r>
          </w:p>
          <w:p w:rsidR="00334A99" w:rsidRDefault="00334A99" w:rsidP="00440055">
            <w:pPr>
              <w:pStyle w:val="ListParagraph"/>
              <w:rPr>
                <w:rFonts w:ascii="Arial" w:hAnsi="Arial" w:cs="Arial"/>
                <w:bCs/>
                <w:color w:val="000000"/>
                <w:lang w:eastAsia="en-GB"/>
              </w:rPr>
            </w:pPr>
          </w:p>
          <w:p w:rsidR="00334A99" w:rsidRPr="00D05247" w:rsidRDefault="00334A99" w:rsidP="00334A99">
            <w:pPr>
              <w:numPr>
                <w:ilvl w:val="1"/>
                <w:numId w:val="14"/>
              </w:numPr>
              <w:ind w:left="709"/>
              <w:rPr>
                <w:rFonts w:ascii="Arial" w:hAnsi="Arial" w:cs="Arial"/>
              </w:rPr>
            </w:pPr>
            <w:r w:rsidRPr="00D05247">
              <w:rPr>
                <w:rFonts w:ascii="Arial" w:hAnsi="Arial" w:cs="Arial"/>
                <w:bCs/>
                <w:color w:val="000000"/>
                <w:lang w:eastAsia="en-GB"/>
              </w:rPr>
              <w:t>The Secretary of State’s consultation paper went on to say that there are obvious flaws in a system where there is no effective alternative government and highlights that the UK Government has regularly expressed a wish at some stage to see a move to a more normal system that allows for inclusive government but also opposition in the Assembly.  The consultation paper stressed that moves to a recognised opposition must be consistent with the principles of inclusivity and power-sharing that are central to the 1998 Act.</w:t>
            </w:r>
          </w:p>
          <w:p w:rsidR="00334A99" w:rsidRPr="00D05247" w:rsidRDefault="00334A99" w:rsidP="00440055">
            <w:pPr>
              <w:rPr>
                <w:rFonts w:ascii="Arial" w:hAnsi="Arial" w:cs="Arial"/>
              </w:rPr>
            </w:pPr>
          </w:p>
          <w:p w:rsidR="00334A99" w:rsidRPr="001E79D7" w:rsidRDefault="00334A99" w:rsidP="00334A99">
            <w:pPr>
              <w:numPr>
                <w:ilvl w:val="1"/>
                <w:numId w:val="14"/>
              </w:numPr>
              <w:ind w:left="709"/>
              <w:rPr>
                <w:rFonts w:ascii="Arial" w:hAnsi="Arial" w:cs="Arial"/>
              </w:rPr>
            </w:pPr>
            <w:r w:rsidRPr="001E79D7">
              <w:rPr>
                <w:rFonts w:ascii="Arial" w:hAnsi="Arial" w:cs="Arial"/>
                <w:bCs/>
                <w:color w:val="000000"/>
                <w:lang w:eastAsia="en-GB"/>
              </w:rPr>
              <w:t>The consultation closed on 23 October 2012.  On 11</w:t>
            </w:r>
            <w:r w:rsidRPr="001E79D7">
              <w:rPr>
                <w:rFonts w:ascii="Arial" w:hAnsi="Arial" w:cs="Arial"/>
                <w:bCs/>
                <w:color w:val="000000"/>
                <w:vertAlign w:val="superscript"/>
                <w:lang w:eastAsia="en-GB"/>
              </w:rPr>
              <w:t>th</w:t>
            </w:r>
            <w:r w:rsidRPr="001E79D7">
              <w:rPr>
                <w:rFonts w:ascii="Arial" w:hAnsi="Arial" w:cs="Arial"/>
                <w:bCs/>
                <w:color w:val="000000"/>
                <w:lang w:eastAsia="en-GB"/>
              </w:rPr>
              <w:t xml:space="preserve"> February 2013, the Secretary of State published the consultation responses, along with draft legislation to make provision on the following issues:  donations and loans for political purposes; dual mandates; electoral registration and administration; appointment and tenure of the NI Justice Minister</w:t>
            </w:r>
            <w:r w:rsidRPr="001E79D7">
              <w:rPr>
                <w:rFonts w:ascii="Arial" w:hAnsi="Arial" w:cs="Arial"/>
                <w:bCs/>
                <w:lang w:eastAsia="en-GB"/>
              </w:rPr>
              <w:t xml:space="preserve">.  The </w:t>
            </w:r>
            <w:r w:rsidRPr="001E79D7">
              <w:rPr>
                <w:rFonts w:ascii="Arial" w:hAnsi="Arial" w:cs="Arial"/>
              </w:rPr>
              <w:t>‘Publication of Draft Legislation Northern Ireland (Miscellaneous Provisions)</w:t>
            </w:r>
            <w:r w:rsidR="00D6521C">
              <w:rPr>
                <w:rFonts w:ascii="Arial" w:hAnsi="Arial" w:cs="Arial"/>
              </w:rPr>
              <w:t xml:space="preserve">’ (Cm 8563) is available online </w:t>
            </w:r>
            <w:r w:rsidRPr="001E79D7">
              <w:rPr>
                <w:rFonts w:ascii="Arial" w:hAnsi="Arial" w:cs="Arial"/>
              </w:rPr>
              <w:t>(</w:t>
            </w:r>
            <w:hyperlink r:id="rId10" w:history="1">
              <w:r w:rsidRPr="001E79D7">
                <w:rPr>
                  <w:rStyle w:val="Hyperlink"/>
                  <w:rFonts w:ascii="Arial" w:hAnsi="Arial" w:cs="Arial"/>
                </w:rPr>
                <w:t>http://www.nio.gov.uk/getattachment/Publications/Publication-of-Draft-Legislation/27250-Cm-8563-v4.pdf.aspx</w:t>
              </w:r>
            </w:hyperlink>
            <w:r w:rsidRPr="001E79D7">
              <w:rPr>
                <w:rFonts w:ascii="Arial" w:hAnsi="Arial" w:cs="Arial"/>
              </w:rPr>
              <w:t>).</w:t>
            </w:r>
          </w:p>
          <w:p w:rsidR="00334A99" w:rsidRPr="001E79D7" w:rsidRDefault="00334A99" w:rsidP="00440055">
            <w:pPr>
              <w:pStyle w:val="ListParagraph"/>
              <w:rPr>
                <w:rFonts w:ascii="Arial" w:hAnsi="Arial" w:cs="Arial"/>
              </w:rPr>
            </w:pPr>
          </w:p>
          <w:p w:rsidR="00334A99" w:rsidRPr="00D6521C" w:rsidRDefault="00334A99" w:rsidP="00D6521C">
            <w:pPr>
              <w:numPr>
                <w:ilvl w:val="1"/>
                <w:numId w:val="14"/>
              </w:numPr>
              <w:ind w:left="709"/>
              <w:rPr>
                <w:rFonts w:ascii="Arial" w:hAnsi="Arial" w:cs="Arial"/>
              </w:rPr>
            </w:pPr>
            <w:r w:rsidRPr="001E79D7">
              <w:rPr>
                <w:rFonts w:ascii="Arial" w:hAnsi="Arial" w:cs="Arial"/>
              </w:rPr>
              <w:t>The introduction to the draft legislation refers to “Government and Opposition” and states:</w:t>
            </w:r>
          </w:p>
          <w:p w:rsidR="00334A99" w:rsidRPr="001E79D7" w:rsidRDefault="00334A99" w:rsidP="00440055">
            <w:pPr>
              <w:ind w:left="993"/>
              <w:rPr>
                <w:rFonts w:ascii="Arial" w:hAnsi="Arial" w:cs="Arial"/>
              </w:rPr>
            </w:pPr>
            <w:r w:rsidRPr="001E79D7">
              <w:rPr>
                <w:rFonts w:ascii="Arial" w:hAnsi="Arial" w:cs="Arial"/>
              </w:rPr>
              <w:t xml:space="preserve">“While the Government would welcome moves towards a system of government and opposition, we remain clear that such changes could only come about with the agreement of parties in the Assembly.  In addition, such moves must be consistent </w:t>
            </w:r>
            <w:r w:rsidRPr="001E79D7">
              <w:rPr>
                <w:rFonts w:ascii="Arial" w:hAnsi="Arial" w:cs="Arial"/>
              </w:rPr>
              <w:lastRenderedPageBreak/>
              <w:t>with the principles of inclusivity and of power-sharing that are central to the Belfast Agreement.  We do not believe that there is sufficient consensus for statutory change at present which is why the draft Bill includes no provision on this issue.</w:t>
            </w:r>
          </w:p>
          <w:p w:rsidR="00334A99" w:rsidRPr="001E79D7" w:rsidRDefault="00334A99" w:rsidP="00440055">
            <w:pPr>
              <w:ind w:left="993"/>
              <w:rPr>
                <w:rFonts w:ascii="Arial" w:hAnsi="Arial" w:cs="Arial"/>
              </w:rPr>
            </w:pPr>
          </w:p>
          <w:p w:rsidR="00334A99" w:rsidRDefault="00334A99" w:rsidP="00440055">
            <w:pPr>
              <w:ind w:left="993"/>
              <w:rPr>
                <w:rFonts w:ascii="Arial" w:hAnsi="Arial" w:cs="Arial"/>
              </w:rPr>
            </w:pPr>
            <w:r w:rsidRPr="001E79D7">
              <w:rPr>
                <w:rFonts w:ascii="Arial" w:hAnsi="Arial" w:cs="Arial"/>
              </w:rPr>
              <w:t xml:space="preserve">However, the consultation document also drew attention to the possibility of procedural change within the Assembly aimed at providing for a more effective opposition. The Government notes that the Assembly and Executive Review Committee </w:t>
            </w:r>
            <w:proofErr w:type="gramStart"/>
            <w:r w:rsidRPr="001E79D7">
              <w:rPr>
                <w:rFonts w:ascii="Arial" w:hAnsi="Arial" w:cs="Arial"/>
              </w:rPr>
              <w:t>is</w:t>
            </w:r>
            <w:proofErr w:type="gramEnd"/>
            <w:r w:rsidRPr="001E79D7">
              <w:rPr>
                <w:rFonts w:ascii="Arial" w:hAnsi="Arial" w:cs="Arial"/>
              </w:rPr>
              <w:t xml:space="preserve"> examining these questions, amongst other institutional issues. The Assembly Research and Information Service produced a Briefing Paper entitled ‘Opposition, Community Designation and </w:t>
            </w:r>
            <w:proofErr w:type="spellStart"/>
            <w:r w:rsidRPr="001E79D7">
              <w:rPr>
                <w:rFonts w:ascii="Arial" w:hAnsi="Arial" w:cs="Arial"/>
              </w:rPr>
              <w:t>d’Hondt</w:t>
            </w:r>
            <w:proofErr w:type="spellEnd"/>
            <w:r w:rsidRPr="001E79D7">
              <w:rPr>
                <w:rFonts w:ascii="Arial" w:hAnsi="Arial" w:cs="Arial"/>
              </w:rPr>
              <w:t>’ in November 2012.  Procedural developments are of course matters for the Assembly itself and not for the Government to seek to impose.”</w:t>
            </w:r>
          </w:p>
          <w:p w:rsidR="00334A99" w:rsidRPr="00C37D79" w:rsidRDefault="00334A99" w:rsidP="00440055">
            <w:pPr>
              <w:ind w:left="993"/>
              <w:rPr>
                <w:rFonts w:ascii="Arial" w:hAnsi="Arial" w:cs="Arial"/>
              </w:rPr>
            </w:pPr>
          </w:p>
          <w:p w:rsidR="00334A99" w:rsidRDefault="00334A99" w:rsidP="00334A99">
            <w:pPr>
              <w:numPr>
                <w:ilvl w:val="1"/>
                <w:numId w:val="14"/>
              </w:numPr>
              <w:ind w:left="709"/>
              <w:rPr>
                <w:rFonts w:ascii="Arial" w:hAnsi="Arial" w:cs="Arial"/>
              </w:rPr>
            </w:pPr>
            <w:r>
              <w:rPr>
                <w:rFonts w:ascii="Arial" w:hAnsi="Arial" w:cs="Arial"/>
              </w:rPr>
              <w:t xml:space="preserve">The Northern Ireland Affairs Committee </w:t>
            </w:r>
            <w:r w:rsidR="00AC7DDB">
              <w:rPr>
                <w:rFonts w:ascii="Arial" w:hAnsi="Arial" w:cs="Arial"/>
              </w:rPr>
              <w:t xml:space="preserve">were asked to scrutinise the draft legislation and on 20 March 2013 </w:t>
            </w:r>
            <w:r>
              <w:rPr>
                <w:rFonts w:ascii="Arial" w:hAnsi="Arial" w:cs="Arial"/>
              </w:rPr>
              <w:t xml:space="preserve">published a Report on the draft Northern Ireland (Miscellaneous Provisions) Bill.  In relation to Government and Opposition, it states: </w:t>
            </w:r>
          </w:p>
          <w:p w:rsidR="009B199B" w:rsidRDefault="009B199B" w:rsidP="009B199B">
            <w:pPr>
              <w:ind w:left="709"/>
            </w:pPr>
          </w:p>
          <w:p w:rsidR="00E50EE6" w:rsidRDefault="009B199B" w:rsidP="00304595">
            <w:pPr>
              <w:ind w:left="1026"/>
              <w:rPr>
                <w:rFonts w:ascii="Arial" w:hAnsi="Arial" w:cs="Arial"/>
              </w:rPr>
            </w:pPr>
            <w:r w:rsidRPr="004A6B4D">
              <w:rPr>
                <w:rFonts w:ascii="Arial" w:hAnsi="Arial" w:cs="Arial"/>
              </w:rPr>
              <w:t>“We note that AERC is currently reviewing the issue of procedural changes in the Assembly, which touch on the question of opposition. We look forward to considering those findings in detail. We note that there appears to be some appetite for a shift towards an "official" opposition within the Assembly. Such an opposition would have to be fully funded and resourced, and we encourage the Government to assist the parties in devising a way forward. Any alternative arrangements should be guided by the fundamental principles in the Belfast (Good Friday) Agreement</w:t>
            </w:r>
            <w:r w:rsidR="004A6B4D" w:rsidRPr="004A6B4D">
              <w:rPr>
                <w:rFonts w:ascii="Arial" w:hAnsi="Arial" w:cs="Arial"/>
              </w:rPr>
              <w:t>.”</w:t>
            </w:r>
            <w:r w:rsidR="00304595">
              <w:rPr>
                <w:rFonts w:ascii="Arial" w:hAnsi="Arial" w:cs="Arial"/>
              </w:rPr>
              <w:t xml:space="preserve"> (Para 158, Recommendation 24).  </w:t>
            </w:r>
          </w:p>
          <w:p w:rsidR="00E50EE6" w:rsidRDefault="00E50EE6" w:rsidP="009B199B">
            <w:pPr>
              <w:ind w:left="709"/>
              <w:rPr>
                <w:rFonts w:ascii="Arial" w:hAnsi="Arial" w:cs="Arial"/>
              </w:rPr>
            </w:pPr>
          </w:p>
          <w:p w:rsidR="00334A99" w:rsidRDefault="00334A99" w:rsidP="00334A99">
            <w:pPr>
              <w:numPr>
                <w:ilvl w:val="1"/>
                <w:numId w:val="14"/>
              </w:numPr>
              <w:ind w:left="709"/>
              <w:rPr>
                <w:rFonts w:ascii="Arial" w:hAnsi="Arial" w:cs="Arial"/>
              </w:rPr>
            </w:pPr>
            <w:r>
              <w:rPr>
                <w:rFonts w:ascii="Arial" w:hAnsi="Arial" w:cs="Arial"/>
              </w:rPr>
              <w:t>The Northern Ireland (Miscellaneous Provisions) Bill had its First Reading in the House of Commons on 9</w:t>
            </w:r>
            <w:r w:rsidRPr="00334A99">
              <w:rPr>
                <w:rFonts w:ascii="Arial" w:hAnsi="Arial" w:cs="Arial"/>
                <w:vertAlign w:val="superscript"/>
              </w:rPr>
              <w:t>th</w:t>
            </w:r>
            <w:r>
              <w:rPr>
                <w:rFonts w:ascii="Arial" w:hAnsi="Arial" w:cs="Arial"/>
              </w:rPr>
              <w:t xml:space="preserve"> May 2013 and was published on 10 May 2013.  The Bill does not include any provisions relating to opposition.  The</w:t>
            </w:r>
            <w:r w:rsidR="00304595">
              <w:rPr>
                <w:rFonts w:ascii="Arial" w:hAnsi="Arial" w:cs="Arial"/>
              </w:rPr>
              <w:t xml:space="preserve"> UK</w:t>
            </w:r>
            <w:r>
              <w:rPr>
                <w:rFonts w:ascii="Arial" w:hAnsi="Arial" w:cs="Arial"/>
              </w:rPr>
              <w:t xml:space="preserve"> Government</w:t>
            </w:r>
            <w:r w:rsidR="00304595">
              <w:rPr>
                <w:rFonts w:ascii="Arial" w:hAnsi="Arial" w:cs="Arial"/>
              </w:rPr>
              <w:t>’s</w:t>
            </w:r>
            <w:r>
              <w:rPr>
                <w:rFonts w:ascii="Arial" w:hAnsi="Arial" w:cs="Arial"/>
              </w:rPr>
              <w:t xml:space="preserve"> response to the Northern Ireland Affairs </w:t>
            </w:r>
            <w:r w:rsidR="004A6B4D">
              <w:rPr>
                <w:rFonts w:ascii="Arial" w:hAnsi="Arial" w:cs="Arial"/>
              </w:rPr>
              <w:t>Committee’s</w:t>
            </w:r>
            <w:r>
              <w:rPr>
                <w:rFonts w:ascii="Arial" w:hAnsi="Arial" w:cs="Arial"/>
              </w:rPr>
              <w:t xml:space="preserve"> pre-legislative scrutiny report on the draft NI Bill states in relation to recommendation 24 on Government and Opposition</w:t>
            </w:r>
            <w:r w:rsidR="00304595">
              <w:rPr>
                <w:rFonts w:ascii="Arial" w:hAnsi="Arial" w:cs="Arial"/>
              </w:rPr>
              <w:t xml:space="preserve"> states</w:t>
            </w:r>
            <w:r>
              <w:rPr>
                <w:rFonts w:ascii="Arial" w:hAnsi="Arial" w:cs="Arial"/>
              </w:rPr>
              <w:t xml:space="preserve">: </w:t>
            </w:r>
          </w:p>
          <w:p w:rsidR="009B199B" w:rsidRDefault="009B199B" w:rsidP="009B199B">
            <w:pPr>
              <w:ind w:left="709"/>
              <w:rPr>
                <w:rFonts w:ascii="Arial" w:hAnsi="Arial" w:cs="Arial"/>
              </w:rPr>
            </w:pPr>
          </w:p>
          <w:p w:rsidR="009B199B" w:rsidRDefault="009B199B" w:rsidP="00D6521C">
            <w:pPr>
              <w:ind w:left="1026"/>
              <w:rPr>
                <w:rFonts w:ascii="Arial" w:hAnsi="Arial" w:cs="Arial"/>
              </w:rPr>
            </w:pPr>
            <w:r>
              <w:rPr>
                <w:rFonts w:ascii="Arial" w:hAnsi="Arial" w:cs="Arial"/>
              </w:rPr>
              <w:t>“</w:t>
            </w:r>
            <w:r w:rsidRPr="009B199B">
              <w:rPr>
                <w:rFonts w:ascii="Arial" w:hAnsi="Arial" w:cs="Arial"/>
              </w:rPr>
              <w:t xml:space="preserve">The Government notes the Committee’s comments. We recognise that the system of Government and Opposition as traditionally understood may promote a more effective </w:t>
            </w:r>
            <w:r>
              <w:rPr>
                <w:rFonts w:ascii="Arial" w:hAnsi="Arial" w:cs="Arial"/>
              </w:rPr>
              <w:t xml:space="preserve">and </w:t>
            </w:r>
            <w:r w:rsidRPr="009B199B">
              <w:rPr>
                <w:rFonts w:ascii="Arial" w:hAnsi="Arial" w:cs="Arial"/>
              </w:rPr>
              <w:t xml:space="preserve">innovative system at </w:t>
            </w:r>
            <w:proofErr w:type="gramStart"/>
            <w:r w:rsidRPr="009B199B">
              <w:rPr>
                <w:rFonts w:ascii="Arial" w:hAnsi="Arial" w:cs="Arial"/>
              </w:rPr>
              <w:t>Stormont,</w:t>
            </w:r>
            <w:proofErr w:type="gramEnd"/>
            <w:r w:rsidRPr="009B199B">
              <w:rPr>
                <w:rFonts w:ascii="Arial" w:hAnsi="Arial" w:cs="Arial"/>
              </w:rPr>
              <w:t xml:space="preserve"> and hope that the Northern Ireland parties will continue </w:t>
            </w:r>
            <w:r>
              <w:rPr>
                <w:rFonts w:ascii="Arial" w:hAnsi="Arial" w:cs="Arial"/>
              </w:rPr>
              <w:t xml:space="preserve">to </w:t>
            </w:r>
            <w:r w:rsidRPr="009B199B">
              <w:rPr>
                <w:rFonts w:ascii="Arial" w:hAnsi="Arial" w:cs="Arial"/>
              </w:rPr>
              <w:t xml:space="preserve">consider potential methods which might further improve the operation of the </w:t>
            </w:r>
            <w:r>
              <w:rPr>
                <w:rFonts w:ascii="Arial" w:hAnsi="Arial" w:cs="Arial"/>
              </w:rPr>
              <w:t xml:space="preserve">institutions. </w:t>
            </w:r>
            <w:r w:rsidRPr="009B199B">
              <w:rPr>
                <w:rFonts w:ascii="Arial" w:hAnsi="Arial" w:cs="Arial"/>
              </w:rPr>
              <w:t xml:space="preserve">It is clear that sufficient consensus does not exist amongst </w:t>
            </w:r>
            <w:r>
              <w:rPr>
                <w:rFonts w:ascii="Arial" w:hAnsi="Arial" w:cs="Arial"/>
              </w:rPr>
              <w:t xml:space="preserve">the parties at present for the </w:t>
            </w:r>
            <w:r w:rsidRPr="009B199B">
              <w:rPr>
                <w:rFonts w:ascii="Arial" w:hAnsi="Arial" w:cs="Arial"/>
              </w:rPr>
              <w:t>Government to legislate on this matter. We will, of course, wor</w:t>
            </w:r>
            <w:r>
              <w:rPr>
                <w:rFonts w:ascii="Arial" w:hAnsi="Arial" w:cs="Arial"/>
              </w:rPr>
              <w:t xml:space="preserve">k with the parties should they </w:t>
            </w:r>
            <w:r w:rsidRPr="009B199B">
              <w:rPr>
                <w:rFonts w:ascii="Arial" w:hAnsi="Arial" w:cs="Arial"/>
              </w:rPr>
              <w:t>agree any changes to the institutions along these lines w</w:t>
            </w:r>
            <w:r>
              <w:rPr>
                <w:rFonts w:ascii="Arial" w:hAnsi="Arial" w:cs="Arial"/>
              </w:rPr>
              <w:t xml:space="preserve">hich would require Westminster </w:t>
            </w:r>
            <w:r w:rsidRPr="009B199B">
              <w:rPr>
                <w:rFonts w:ascii="Arial" w:hAnsi="Arial" w:cs="Arial"/>
              </w:rPr>
              <w:t>legislation in the future</w:t>
            </w:r>
            <w:r w:rsidR="004A6B4D">
              <w:rPr>
                <w:rFonts w:ascii="Arial" w:hAnsi="Arial" w:cs="Arial"/>
              </w:rPr>
              <w:t>.”</w:t>
            </w:r>
          </w:p>
          <w:p w:rsidR="00304595" w:rsidRDefault="00304595" w:rsidP="00304595">
            <w:pPr>
              <w:rPr>
                <w:rFonts w:ascii="Arial" w:hAnsi="Arial" w:cs="Arial"/>
                <w:color w:val="000000"/>
                <w:lang w:eastAsia="en-GB"/>
              </w:rPr>
            </w:pPr>
          </w:p>
          <w:p w:rsidR="00304595" w:rsidRPr="00304595" w:rsidRDefault="00304595" w:rsidP="00304595">
            <w:pPr>
              <w:rPr>
                <w:rFonts w:ascii="Arial" w:hAnsi="Arial" w:cs="Arial"/>
                <w:b/>
                <w:color w:val="000000"/>
                <w:lang w:eastAsia="en-GB"/>
              </w:rPr>
            </w:pPr>
            <w:r w:rsidRPr="00304595">
              <w:rPr>
                <w:rFonts w:ascii="Arial" w:hAnsi="Arial" w:cs="Arial"/>
                <w:b/>
                <w:color w:val="000000"/>
                <w:lang w:eastAsia="en-GB"/>
              </w:rPr>
              <w:t>Consideration of Assembly and Executive Reform by  NI Assembly</w:t>
            </w:r>
          </w:p>
          <w:p w:rsidR="009B199B" w:rsidRDefault="009B199B" w:rsidP="00D6521C">
            <w:pPr>
              <w:rPr>
                <w:rFonts w:ascii="Arial" w:hAnsi="Arial" w:cs="Arial"/>
              </w:rPr>
            </w:pPr>
          </w:p>
          <w:p w:rsidR="009B199B" w:rsidRDefault="00334A99" w:rsidP="00334A99">
            <w:pPr>
              <w:numPr>
                <w:ilvl w:val="1"/>
                <w:numId w:val="14"/>
              </w:numPr>
              <w:ind w:left="709"/>
              <w:rPr>
                <w:rFonts w:ascii="Arial" w:hAnsi="Arial" w:cs="Arial"/>
              </w:rPr>
            </w:pPr>
            <w:r>
              <w:rPr>
                <w:rFonts w:ascii="Arial" w:hAnsi="Arial" w:cs="Arial"/>
              </w:rPr>
              <w:t xml:space="preserve">In </w:t>
            </w:r>
            <w:r w:rsidR="009B199B">
              <w:rPr>
                <w:rFonts w:ascii="Arial" w:hAnsi="Arial" w:cs="Arial"/>
              </w:rPr>
              <w:t xml:space="preserve">November 2012, the Committee agreed that its next priorities for Review were the issues of </w:t>
            </w:r>
            <w:proofErr w:type="spellStart"/>
            <w:r w:rsidR="009B199B">
              <w:rPr>
                <w:rFonts w:ascii="Arial" w:hAnsi="Arial" w:cs="Arial"/>
              </w:rPr>
              <w:t>D’Hondt</w:t>
            </w:r>
            <w:proofErr w:type="spellEnd"/>
            <w:r w:rsidR="009B199B">
              <w:rPr>
                <w:rFonts w:ascii="Arial" w:hAnsi="Arial" w:cs="Arial"/>
              </w:rPr>
              <w:t xml:space="preserve">, Community Designation and Provisions for Opposition.   At its meeting in February 2013, the Committee agreed the Terms of Reference for its Review of </w:t>
            </w:r>
            <w:proofErr w:type="spellStart"/>
            <w:r w:rsidR="009B199B">
              <w:rPr>
                <w:rFonts w:ascii="Arial" w:hAnsi="Arial" w:cs="Arial"/>
              </w:rPr>
              <w:t>D’Hondt</w:t>
            </w:r>
            <w:proofErr w:type="spellEnd"/>
            <w:r w:rsidR="009B199B">
              <w:rPr>
                <w:rFonts w:ascii="Arial" w:hAnsi="Arial" w:cs="Arial"/>
              </w:rPr>
              <w:t xml:space="preserve">, Community Designation and Provisions for Opposition, a Stakeholder ‘Call for Evidence’ Paper and a stakeholder list that included all political parties registered in Northern Ireland.  The Committee received and considered 22 </w:t>
            </w:r>
            <w:r w:rsidR="009B199B">
              <w:rPr>
                <w:rFonts w:ascii="Arial" w:hAnsi="Arial" w:cs="Arial"/>
              </w:rPr>
              <w:lastRenderedPageBreak/>
              <w:t xml:space="preserve">stakeholder responses to the Review.   It also held a number of evidence sessions with representatives from academia and non-governmental organisations.  </w:t>
            </w:r>
          </w:p>
          <w:p w:rsidR="009B199B" w:rsidRDefault="009B199B" w:rsidP="009B199B">
            <w:pPr>
              <w:ind w:left="709"/>
              <w:rPr>
                <w:rFonts w:ascii="Arial" w:hAnsi="Arial" w:cs="Arial"/>
              </w:rPr>
            </w:pPr>
          </w:p>
          <w:p w:rsidR="009B199B" w:rsidRPr="00D6521C" w:rsidRDefault="009B199B" w:rsidP="00D6521C">
            <w:pPr>
              <w:numPr>
                <w:ilvl w:val="1"/>
                <w:numId w:val="14"/>
              </w:numPr>
              <w:ind w:left="709"/>
              <w:rPr>
                <w:rFonts w:ascii="Arial" w:hAnsi="Arial" w:cs="Arial"/>
              </w:rPr>
            </w:pPr>
            <w:r>
              <w:rPr>
                <w:rFonts w:ascii="Arial" w:hAnsi="Arial" w:cs="Arial"/>
              </w:rPr>
              <w:t xml:space="preserve">The Committee Review took evidence on Provisions for Opposition in relation to: </w:t>
            </w:r>
          </w:p>
          <w:p w:rsidR="00D6521C" w:rsidRDefault="00D6521C" w:rsidP="009B199B">
            <w:pPr>
              <w:ind w:left="1146"/>
              <w:rPr>
                <w:rFonts w:ascii="Arial" w:hAnsi="Arial" w:cs="Arial"/>
              </w:rPr>
            </w:pPr>
          </w:p>
          <w:p w:rsidR="009B199B" w:rsidRPr="009B199B" w:rsidRDefault="009B199B" w:rsidP="009B199B">
            <w:pPr>
              <w:ind w:left="1146"/>
              <w:rPr>
                <w:rFonts w:ascii="Arial" w:hAnsi="Arial" w:cs="Arial"/>
              </w:rPr>
            </w:pPr>
            <w:r w:rsidRPr="009B199B">
              <w:rPr>
                <w:rFonts w:ascii="Arial" w:hAnsi="Arial" w:cs="Arial"/>
              </w:rPr>
              <w:t xml:space="preserve">Whether the accountability and effectiveness of the Northern Ireland Assembly and </w:t>
            </w:r>
          </w:p>
          <w:p w:rsidR="00D6521C" w:rsidRDefault="009B199B" w:rsidP="00D6521C">
            <w:pPr>
              <w:spacing w:after="120"/>
              <w:ind w:left="1145"/>
              <w:rPr>
                <w:rFonts w:ascii="Arial" w:hAnsi="Arial" w:cs="Arial"/>
              </w:rPr>
            </w:pPr>
            <w:r w:rsidRPr="009B199B">
              <w:rPr>
                <w:rFonts w:ascii="Arial" w:hAnsi="Arial" w:cs="Arial"/>
              </w:rPr>
              <w:t>Executive could be improved through the introduction of provisions to formally recognise Opposition, while retaining the principles of power-sharing and inclusivity.</w:t>
            </w:r>
            <w:r w:rsidR="00D6521C">
              <w:rPr>
                <w:rFonts w:ascii="Arial" w:hAnsi="Arial" w:cs="Arial"/>
              </w:rPr>
              <w:t xml:space="preserve">  </w:t>
            </w:r>
            <w:r w:rsidRPr="009B199B">
              <w:rPr>
                <w:rFonts w:ascii="Arial" w:hAnsi="Arial" w:cs="Arial"/>
              </w:rPr>
              <w:t>In particular, the Committee took evidence on whether:</w:t>
            </w:r>
          </w:p>
          <w:p w:rsidR="00D6521C" w:rsidRPr="00D6521C" w:rsidRDefault="009B199B" w:rsidP="00D6521C">
            <w:pPr>
              <w:pStyle w:val="ListParagraph"/>
              <w:numPr>
                <w:ilvl w:val="0"/>
                <w:numId w:val="22"/>
              </w:numPr>
              <w:spacing w:after="120"/>
              <w:rPr>
                <w:rFonts w:ascii="Arial" w:hAnsi="Arial" w:cs="Arial"/>
              </w:rPr>
            </w:pPr>
            <w:r w:rsidRPr="00D6521C">
              <w:rPr>
                <w:rFonts w:ascii="Arial" w:hAnsi="Arial" w:cs="Arial"/>
              </w:rPr>
              <w:t xml:space="preserve">Opposition Parties/Non-Executive Parties should be allocated appropriate financial resources to </w:t>
            </w:r>
            <w:r w:rsidR="00D6521C" w:rsidRPr="00D6521C">
              <w:rPr>
                <w:rFonts w:ascii="Arial" w:hAnsi="Arial" w:cs="Arial"/>
              </w:rPr>
              <w:t>assist in their Assembly duties.</w:t>
            </w:r>
          </w:p>
          <w:p w:rsidR="00D6521C" w:rsidRPr="00D6521C" w:rsidRDefault="009B199B" w:rsidP="00D6521C">
            <w:pPr>
              <w:pStyle w:val="ListParagraph"/>
              <w:numPr>
                <w:ilvl w:val="0"/>
                <w:numId w:val="22"/>
              </w:numPr>
              <w:spacing w:after="120"/>
              <w:rPr>
                <w:rFonts w:ascii="Arial" w:hAnsi="Arial" w:cs="Arial"/>
              </w:rPr>
            </w:pPr>
            <w:r w:rsidRPr="00D6521C">
              <w:rPr>
                <w:rFonts w:ascii="Arial" w:hAnsi="Arial" w:cs="Arial"/>
              </w:rPr>
              <w:t>Arrangements for allocating Chairs and Deputy Chairs of Assembly Committees should be changed to take account of a form</w:t>
            </w:r>
            <w:r w:rsidR="00D6521C" w:rsidRPr="00D6521C">
              <w:rPr>
                <w:rFonts w:ascii="Arial" w:hAnsi="Arial" w:cs="Arial"/>
              </w:rPr>
              <w:t>al Opposition; and</w:t>
            </w:r>
          </w:p>
          <w:p w:rsidR="00834761" w:rsidRDefault="009B199B" w:rsidP="00D6521C">
            <w:pPr>
              <w:pStyle w:val="ListParagraph"/>
              <w:numPr>
                <w:ilvl w:val="0"/>
                <w:numId w:val="22"/>
              </w:numPr>
              <w:spacing w:after="120"/>
              <w:rPr>
                <w:rFonts w:ascii="Arial" w:hAnsi="Arial" w:cs="Arial"/>
              </w:rPr>
            </w:pPr>
            <w:r w:rsidRPr="00D6521C">
              <w:rPr>
                <w:rFonts w:ascii="Arial" w:hAnsi="Arial" w:cs="Arial"/>
              </w:rPr>
              <w:t>Opposition Parties/Non-Executive Parties should be guaranteed additional time to raise and debate non-Executive business in the Assembly — including priority speaking rights in response to Ministerial Statements and in Question Time.</w:t>
            </w:r>
          </w:p>
          <w:p w:rsidR="004A6B4D" w:rsidRDefault="00834761" w:rsidP="005E1EF2">
            <w:pPr>
              <w:spacing w:after="120"/>
              <w:rPr>
                <w:rFonts w:ascii="Arial" w:hAnsi="Arial" w:cs="Arial"/>
              </w:rPr>
            </w:pPr>
            <w:r w:rsidRPr="00834761">
              <w:rPr>
                <w:rFonts w:ascii="Arial" w:hAnsi="Arial" w:cs="Arial"/>
                <w:b/>
              </w:rPr>
              <w:t>3.10</w:t>
            </w:r>
            <w:r>
              <w:rPr>
                <w:rFonts w:ascii="Arial" w:hAnsi="Arial" w:cs="Arial"/>
              </w:rPr>
              <w:t xml:space="preserve">      </w:t>
            </w:r>
            <w:r w:rsidR="009B199B" w:rsidRPr="00834761">
              <w:rPr>
                <w:rFonts w:ascii="Arial" w:hAnsi="Arial" w:cs="Arial"/>
              </w:rPr>
              <w:t>In respect of the provisions for opposition, the Committee concluded th</w:t>
            </w:r>
            <w:r w:rsidR="005E1EF2">
              <w:rPr>
                <w:rFonts w:ascii="Arial" w:hAnsi="Arial" w:cs="Arial"/>
              </w:rPr>
              <w:t>e following</w:t>
            </w:r>
            <w:r w:rsidR="009B199B" w:rsidRPr="00834761">
              <w:rPr>
                <w:rFonts w:ascii="Arial" w:hAnsi="Arial" w:cs="Arial"/>
              </w:rPr>
              <w:t xml:space="preserve">: </w:t>
            </w:r>
          </w:p>
          <w:p w:rsidR="004A6B4D" w:rsidRPr="005E1EF2" w:rsidRDefault="005E1EF2" w:rsidP="005E1EF2">
            <w:pPr>
              <w:pStyle w:val="ListParagraph"/>
              <w:numPr>
                <w:ilvl w:val="0"/>
                <w:numId w:val="24"/>
              </w:numPr>
              <w:spacing w:after="120"/>
              <w:rPr>
                <w:rFonts w:ascii="Arial" w:hAnsi="Arial" w:cs="Arial"/>
              </w:rPr>
            </w:pPr>
            <w:r>
              <w:rPr>
                <w:rFonts w:ascii="Arial" w:hAnsi="Arial" w:cs="Arial"/>
              </w:rPr>
              <w:t>T</w:t>
            </w:r>
            <w:r w:rsidR="004A6B4D" w:rsidRPr="004A6B4D">
              <w:rPr>
                <w:rFonts w:ascii="Arial" w:hAnsi="Arial" w:cs="Arial"/>
              </w:rPr>
              <w:t xml:space="preserve">here is no consensus at present to move to a formal </w:t>
            </w:r>
            <w:r w:rsidR="004A6B4D" w:rsidRPr="005E1EF2">
              <w:rPr>
                <w:rFonts w:ascii="Arial" w:hAnsi="Arial" w:cs="Arial"/>
              </w:rPr>
              <w:t>Government and Opposition model, such as exists in Westminster. It also concluded that there is no consensus to move from the current opt-out model, whereby Parties can exercise their right to opt-out of taking up their Ministerial post or withdraw from the Executive, based on existing Assembly provisions.</w:t>
            </w:r>
          </w:p>
          <w:p w:rsidR="004A6B4D" w:rsidRPr="00D6521C" w:rsidRDefault="005E1EF2" w:rsidP="00D6521C">
            <w:pPr>
              <w:pStyle w:val="ListParagraph"/>
              <w:numPr>
                <w:ilvl w:val="0"/>
                <w:numId w:val="24"/>
              </w:numPr>
              <w:spacing w:after="120"/>
              <w:rPr>
                <w:rFonts w:ascii="Arial" w:hAnsi="Arial" w:cs="Arial"/>
              </w:rPr>
            </w:pPr>
            <w:r>
              <w:rPr>
                <w:rFonts w:ascii="Arial" w:hAnsi="Arial" w:cs="Arial"/>
              </w:rPr>
              <w:t>T</w:t>
            </w:r>
            <w:r w:rsidR="004A6B4D" w:rsidRPr="004A6B4D">
              <w:rPr>
                <w:rFonts w:ascii="Arial" w:hAnsi="Arial" w:cs="Arial"/>
              </w:rPr>
              <w:t>hat financial support for political parties should continue to be allocated on a broadly proportional basis and did not consider that additional resources should be allocated to non-Executive/opposition Parties.</w:t>
            </w:r>
          </w:p>
          <w:p w:rsidR="004A6B4D" w:rsidRPr="004A6B4D" w:rsidRDefault="004A6B4D" w:rsidP="00D6521C">
            <w:pPr>
              <w:pStyle w:val="ListParagraph"/>
              <w:numPr>
                <w:ilvl w:val="0"/>
                <w:numId w:val="24"/>
              </w:numPr>
              <w:spacing w:after="120"/>
              <w:rPr>
                <w:rFonts w:ascii="Arial" w:hAnsi="Arial" w:cs="Arial"/>
              </w:rPr>
            </w:pPr>
            <w:r w:rsidRPr="004A6B4D">
              <w:rPr>
                <w:rFonts w:ascii="Arial" w:hAnsi="Arial" w:cs="Arial"/>
              </w:rPr>
              <w:t>Parties that exercise their right not to take their Executive entitlement would have “informal” recognition of non-Executive/opposition status on a proportional basis by:</w:t>
            </w:r>
          </w:p>
          <w:p w:rsidR="004A6B4D" w:rsidRPr="004A6B4D" w:rsidRDefault="004A6B4D" w:rsidP="00D6521C">
            <w:pPr>
              <w:pStyle w:val="ListParagraph"/>
              <w:numPr>
                <w:ilvl w:val="0"/>
                <w:numId w:val="17"/>
              </w:numPr>
              <w:spacing w:after="120"/>
              <w:ind w:hanging="357"/>
              <w:rPr>
                <w:rFonts w:ascii="Arial" w:hAnsi="Arial" w:cs="Arial"/>
              </w:rPr>
            </w:pPr>
            <w:r w:rsidRPr="004A6B4D">
              <w:rPr>
                <w:rFonts w:ascii="Arial" w:hAnsi="Arial" w:cs="Arial"/>
              </w:rPr>
              <w:t>Additional speaking rights;</w:t>
            </w:r>
          </w:p>
          <w:p w:rsidR="004A6B4D" w:rsidRPr="004A6B4D" w:rsidRDefault="004A6B4D" w:rsidP="00D6521C">
            <w:pPr>
              <w:pStyle w:val="ListParagraph"/>
              <w:numPr>
                <w:ilvl w:val="0"/>
                <w:numId w:val="17"/>
              </w:numPr>
              <w:spacing w:after="120"/>
              <w:ind w:hanging="357"/>
              <w:rPr>
                <w:rFonts w:ascii="Arial" w:hAnsi="Arial" w:cs="Arial"/>
              </w:rPr>
            </w:pPr>
            <w:r w:rsidRPr="004A6B4D">
              <w:rPr>
                <w:rFonts w:ascii="Arial" w:hAnsi="Arial" w:cs="Arial"/>
              </w:rPr>
              <w:t>recognition of status by order of speaking; and</w:t>
            </w:r>
          </w:p>
          <w:p w:rsidR="004A6B4D" w:rsidRPr="004A6B4D" w:rsidRDefault="004A6B4D" w:rsidP="00D6521C">
            <w:pPr>
              <w:pStyle w:val="ListParagraph"/>
              <w:numPr>
                <w:ilvl w:val="0"/>
                <w:numId w:val="17"/>
              </w:numPr>
              <w:spacing w:after="120"/>
              <w:ind w:hanging="357"/>
              <w:rPr>
                <w:rFonts w:ascii="Arial" w:hAnsi="Arial" w:cs="Arial"/>
              </w:rPr>
            </w:pPr>
            <w:proofErr w:type="gramStart"/>
            <w:r>
              <w:rPr>
                <w:rFonts w:ascii="Arial" w:hAnsi="Arial" w:cs="Arial"/>
              </w:rPr>
              <w:t>a</w:t>
            </w:r>
            <w:r w:rsidRPr="004A6B4D">
              <w:rPr>
                <w:rFonts w:ascii="Arial" w:hAnsi="Arial" w:cs="Arial"/>
              </w:rPr>
              <w:t>llocation</w:t>
            </w:r>
            <w:proofErr w:type="gramEnd"/>
            <w:r w:rsidRPr="004A6B4D">
              <w:rPr>
                <w:rFonts w:ascii="Arial" w:hAnsi="Arial" w:cs="Arial"/>
              </w:rPr>
              <w:t xml:space="preserve"> of time for additional non-Executive business – the use of the allocation to be determined by non-Executive Party/opposition.</w:t>
            </w:r>
          </w:p>
          <w:p w:rsidR="004A6B4D" w:rsidRDefault="004A6B4D" w:rsidP="00D6521C">
            <w:pPr>
              <w:spacing w:after="120"/>
              <w:ind w:left="1452"/>
              <w:rPr>
                <w:rFonts w:ascii="Arial" w:hAnsi="Arial" w:cs="Arial"/>
              </w:rPr>
            </w:pPr>
            <w:r w:rsidRPr="004A6B4D">
              <w:rPr>
                <w:rFonts w:ascii="Arial" w:hAnsi="Arial" w:cs="Arial"/>
              </w:rPr>
              <w:t xml:space="preserve">The representatives of Sinn </w:t>
            </w:r>
            <w:proofErr w:type="spellStart"/>
            <w:r w:rsidRPr="004A6B4D">
              <w:rPr>
                <w:rFonts w:ascii="Arial" w:hAnsi="Arial" w:cs="Arial"/>
              </w:rPr>
              <w:t>Féin</w:t>
            </w:r>
            <w:proofErr w:type="spellEnd"/>
            <w:r w:rsidRPr="004A6B4D">
              <w:rPr>
                <w:rFonts w:ascii="Arial" w:hAnsi="Arial" w:cs="Arial"/>
              </w:rPr>
              <w:t xml:space="preserve"> stated that they were unable to support this conclusion.</w:t>
            </w:r>
          </w:p>
          <w:p w:rsidR="004A6B4D" w:rsidRPr="00D6521C" w:rsidRDefault="004A6B4D" w:rsidP="005E1EF2">
            <w:pPr>
              <w:pStyle w:val="ListParagraph"/>
              <w:numPr>
                <w:ilvl w:val="0"/>
                <w:numId w:val="24"/>
              </w:numPr>
              <w:spacing w:after="120"/>
              <w:ind w:hanging="357"/>
              <w:rPr>
                <w:rFonts w:ascii="Arial" w:hAnsi="Arial" w:cs="Arial"/>
              </w:rPr>
            </w:pPr>
            <w:r w:rsidRPr="004A6B4D">
              <w:rPr>
                <w:rFonts w:ascii="Arial" w:hAnsi="Arial" w:cs="Arial"/>
              </w:rPr>
              <w:t xml:space="preserve">Parties that have failed to meet the Executive threshold for </w:t>
            </w:r>
            <w:proofErr w:type="spellStart"/>
            <w:r w:rsidRPr="004A6B4D">
              <w:rPr>
                <w:rFonts w:ascii="Arial" w:hAnsi="Arial" w:cs="Arial"/>
              </w:rPr>
              <w:t>d’Hondt</w:t>
            </w:r>
            <w:proofErr w:type="spellEnd"/>
            <w:r w:rsidRPr="004A6B4D">
              <w:rPr>
                <w:rFonts w:ascii="Arial" w:hAnsi="Arial" w:cs="Arial"/>
              </w:rPr>
              <w:t xml:space="preserve"> but have reached a suitable threshold should attract appropriate recognition in terms of speaking rights, status by order of speaking and allocation of time for non-Executive business in proportion to their Party strength.</w:t>
            </w:r>
          </w:p>
          <w:p w:rsidR="004A6B4D" w:rsidRPr="00D6521C" w:rsidRDefault="004A6B4D" w:rsidP="00D6521C">
            <w:pPr>
              <w:pStyle w:val="ListParagraph"/>
              <w:numPr>
                <w:ilvl w:val="0"/>
                <w:numId w:val="24"/>
              </w:numPr>
              <w:spacing w:after="120"/>
              <w:ind w:hanging="357"/>
              <w:rPr>
                <w:rFonts w:ascii="Arial" w:hAnsi="Arial" w:cs="Arial"/>
              </w:rPr>
            </w:pPr>
            <w:r w:rsidRPr="004A6B4D">
              <w:rPr>
                <w:rFonts w:ascii="Arial" w:hAnsi="Arial" w:cs="Arial"/>
              </w:rPr>
              <w:t>The Committee recognised that there may be some value in Technical Groups and recommended that this facility for smaller Parties of the Assembly be reviewed.</w:t>
            </w:r>
          </w:p>
          <w:p w:rsidR="00937DA9" w:rsidRPr="001F481E" w:rsidRDefault="004A6B4D" w:rsidP="00D6521C">
            <w:pPr>
              <w:pStyle w:val="ListParagraph"/>
              <w:numPr>
                <w:ilvl w:val="0"/>
                <w:numId w:val="24"/>
              </w:numPr>
              <w:spacing w:after="120"/>
              <w:ind w:hanging="357"/>
              <w:rPr>
                <w:rFonts w:ascii="Arial" w:hAnsi="Arial" w:cs="Arial"/>
              </w:rPr>
            </w:pPr>
            <w:r w:rsidRPr="004A6B4D">
              <w:rPr>
                <w:rFonts w:ascii="Arial" w:hAnsi="Arial" w:cs="Arial"/>
              </w:rPr>
              <w:t xml:space="preserve">The Committee concluded that the Parties of the incoming Executive should aim to agree a Heads of Agreement of a Programme for Government in advance of </w:t>
            </w:r>
            <w:r w:rsidRPr="004A6B4D">
              <w:rPr>
                <w:rFonts w:ascii="Arial" w:hAnsi="Arial" w:cs="Arial"/>
              </w:rPr>
              <w:lastRenderedPageBreak/>
              <w:t>the formation of the Executive, with a full draft Programme for Government published in accordance with current procedures.</w:t>
            </w:r>
            <w:r w:rsidR="00937DA9" w:rsidRPr="00E34F98">
              <w:t xml:space="preserve"> </w:t>
            </w:r>
          </w:p>
          <w:p w:rsidR="00937DA9" w:rsidRPr="00937DA9" w:rsidRDefault="00937DA9" w:rsidP="00937DA9">
            <w:pPr>
              <w:rPr>
                <w:rFonts w:ascii="Arial" w:hAnsi="Arial" w:cs="Arial"/>
              </w:rPr>
            </w:pPr>
          </w:p>
          <w:p w:rsidR="00334A99" w:rsidRPr="001F481E" w:rsidRDefault="001F481E" w:rsidP="00440055">
            <w:pPr>
              <w:ind w:left="426"/>
              <w:rPr>
                <w:rFonts w:ascii="Arial" w:hAnsi="Arial" w:cs="Arial"/>
                <w:b/>
              </w:rPr>
            </w:pPr>
            <w:r w:rsidRPr="001F481E">
              <w:rPr>
                <w:rFonts w:ascii="Arial" w:hAnsi="Arial" w:cs="Arial"/>
                <w:b/>
                <w:u w:val="single"/>
              </w:rPr>
              <w:t xml:space="preserve">Stormont House Agreement </w:t>
            </w:r>
          </w:p>
          <w:p w:rsidR="00334A99" w:rsidRPr="009C12C6" w:rsidRDefault="00334A99" w:rsidP="00440055">
            <w:pPr>
              <w:ind w:left="426"/>
              <w:rPr>
                <w:rFonts w:ascii="Arial" w:hAnsi="Arial" w:cs="Arial"/>
                <w:b/>
                <w:i/>
                <w:u w:val="single"/>
              </w:rPr>
            </w:pPr>
          </w:p>
          <w:p w:rsidR="00937DA9" w:rsidRDefault="00834761" w:rsidP="005E1EF2">
            <w:pPr>
              <w:tabs>
                <w:tab w:val="left" w:pos="1540"/>
              </w:tabs>
              <w:spacing w:after="200"/>
              <w:ind w:left="743" w:hanging="709"/>
              <w:contextualSpacing/>
              <w:rPr>
                <w:rFonts w:ascii="Arial" w:hAnsi="Arial" w:cs="Arial"/>
              </w:rPr>
            </w:pPr>
            <w:r>
              <w:rPr>
                <w:rFonts w:ascii="Arial" w:hAnsi="Arial" w:cs="Arial"/>
              </w:rPr>
              <w:t xml:space="preserve">3.11    </w:t>
            </w:r>
            <w:r w:rsidR="00937DA9" w:rsidRPr="00834761">
              <w:rPr>
                <w:rFonts w:ascii="Arial" w:hAnsi="Arial" w:cs="Arial"/>
              </w:rPr>
              <w:t>The Stormont House Agreement, which was agreed by all five Executive parties in December 2014, contained a number of provisions relating to institutional reform and the formation of an official opposition.  These are detailed below</w:t>
            </w:r>
            <w:r w:rsidR="00D95343">
              <w:rPr>
                <w:rFonts w:ascii="Arial" w:hAnsi="Arial" w:cs="Arial"/>
              </w:rPr>
              <w:t>:</w:t>
            </w:r>
            <w:r w:rsidR="005E1EF2">
              <w:rPr>
                <w:rFonts w:ascii="Arial" w:hAnsi="Arial" w:cs="Arial"/>
              </w:rPr>
              <w:t xml:space="preserve"> </w:t>
            </w:r>
          </w:p>
          <w:p w:rsidR="005E1EF2" w:rsidRPr="005E1EF2" w:rsidRDefault="005E1EF2" w:rsidP="005E1EF2">
            <w:pPr>
              <w:tabs>
                <w:tab w:val="left" w:pos="1540"/>
              </w:tabs>
              <w:spacing w:after="200" w:line="276" w:lineRule="auto"/>
              <w:ind w:left="743" w:hanging="710"/>
              <w:contextualSpacing/>
              <w:rPr>
                <w:rFonts w:ascii="Arial" w:hAnsi="Arial" w:cs="Arial"/>
              </w:rPr>
            </w:pPr>
          </w:p>
          <w:p w:rsidR="00937DA9" w:rsidRPr="00834761" w:rsidRDefault="00834761" w:rsidP="005E1EF2">
            <w:pPr>
              <w:tabs>
                <w:tab w:val="left" w:pos="1540"/>
              </w:tabs>
              <w:spacing w:after="120"/>
              <w:ind w:left="743" w:hanging="743"/>
              <w:rPr>
                <w:rFonts w:ascii="Arial" w:hAnsi="Arial" w:cs="Arial"/>
              </w:rPr>
            </w:pPr>
            <w:r>
              <w:rPr>
                <w:rFonts w:ascii="Arial" w:hAnsi="Arial" w:cs="Arial"/>
              </w:rPr>
              <w:t xml:space="preserve">3.12    </w:t>
            </w:r>
            <w:r w:rsidR="00D95343">
              <w:rPr>
                <w:rFonts w:ascii="Arial" w:hAnsi="Arial" w:cs="Arial"/>
              </w:rPr>
              <w:t>“</w:t>
            </w:r>
            <w:r w:rsidR="00937DA9" w:rsidRPr="00834761">
              <w:rPr>
                <w:rFonts w:ascii="Arial" w:hAnsi="Arial" w:cs="Arial"/>
              </w:rPr>
              <w:t>Arrangements will  be put in place by the Assembly by March 2015 to enable those parties which would be entitled to ministerial positions in the Executive, but choose not to take them up, to be recognised as an official opposition and to facilitate their work. These measures will include:</w:t>
            </w:r>
          </w:p>
          <w:p w:rsidR="005E1EF2" w:rsidRPr="005E1EF2" w:rsidRDefault="00937DA9" w:rsidP="005E1EF2">
            <w:pPr>
              <w:pStyle w:val="ListParagraph"/>
              <w:numPr>
                <w:ilvl w:val="0"/>
                <w:numId w:val="28"/>
              </w:numPr>
              <w:tabs>
                <w:tab w:val="left" w:pos="1540"/>
              </w:tabs>
              <w:spacing w:after="120"/>
              <w:rPr>
                <w:rFonts w:ascii="Arial" w:hAnsi="Arial" w:cs="Arial"/>
                <w:u w:val="single"/>
              </w:rPr>
            </w:pPr>
            <w:r w:rsidRPr="005E1EF2">
              <w:rPr>
                <w:rFonts w:ascii="Arial" w:hAnsi="Arial" w:cs="Arial"/>
              </w:rPr>
              <w:t>Designated speaking rights including the opportunity to ask questions and table business sufficient to permit the parties to discharge their opposition duties</w:t>
            </w:r>
          </w:p>
          <w:p w:rsidR="001F481E" w:rsidRPr="005E1EF2" w:rsidRDefault="00937DA9" w:rsidP="005E1EF2">
            <w:pPr>
              <w:pStyle w:val="ListParagraph"/>
              <w:numPr>
                <w:ilvl w:val="0"/>
                <w:numId w:val="28"/>
              </w:numPr>
              <w:tabs>
                <w:tab w:val="left" w:pos="1540"/>
              </w:tabs>
              <w:spacing w:after="120"/>
              <w:rPr>
                <w:rFonts w:ascii="Arial" w:hAnsi="Arial" w:cs="Arial"/>
                <w:u w:val="single"/>
              </w:rPr>
            </w:pPr>
            <w:r w:rsidRPr="005E1EF2">
              <w:rPr>
                <w:rFonts w:ascii="Arial" w:hAnsi="Arial" w:cs="Arial"/>
              </w:rPr>
              <w:t>Provision for financial and research assistance (from within existing Assembly budgets keeping these changes cost neutral)</w:t>
            </w:r>
          </w:p>
          <w:p w:rsidR="00834761" w:rsidRPr="00834761" w:rsidRDefault="00834761" w:rsidP="005E1EF2">
            <w:pPr>
              <w:pStyle w:val="ListParagraph"/>
              <w:numPr>
                <w:ilvl w:val="1"/>
                <w:numId w:val="27"/>
              </w:numPr>
              <w:tabs>
                <w:tab w:val="left" w:pos="743"/>
              </w:tabs>
              <w:spacing w:after="200"/>
              <w:ind w:left="743" w:hanging="710"/>
              <w:contextualSpacing/>
              <w:rPr>
                <w:rFonts w:ascii="Arial" w:hAnsi="Arial" w:cs="Arial"/>
                <w:color w:val="0000FF"/>
                <w:u w:val="single"/>
              </w:rPr>
            </w:pPr>
            <w:r w:rsidRPr="00834761">
              <w:rPr>
                <w:rFonts w:ascii="Arial" w:hAnsi="Arial" w:cs="Arial"/>
              </w:rPr>
              <w:t xml:space="preserve"> </w:t>
            </w:r>
            <w:r w:rsidR="00937DA9" w:rsidRPr="00834761">
              <w:rPr>
                <w:rFonts w:ascii="Arial" w:hAnsi="Arial" w:cs="Arial"/>
              </w:rPr>
              <w:t xml:space="preserve">The threshold for Petitions of Concern should remain at 30 members. Changes will be made to the operation of the Petition of Concern mechanism through a protocol agreed between the parties. </w:t>
            </w:r>
          </w:p>
          <w:p w:rsidR="005E1EF2" w:rsidRPr="005E1EF2" w:rsidRDefault="005E1EF2" w:rsidP="005E1EF2">
            <w:pPr>
              <w:pStyle w:val="ListParagraph"/>
              <w:tabs>
                <w:tab w:val="left" w:pos="743"/>
                <w:tab w:val="left" w:pos="1540"/>
              </w:tabs>
              <w:spacing w:after="200"/>
              <w:ind w:left="465"/>
              <w:contextualSpacing/>
              <w:rPr>
                <w:rFonts w:ascii="Arial" w:hAnsi="Arial" w:cs="Arial"/>
                <w:color w:val="0000FF"/>
                <w:u w:val="single"/>
              </w:rPr>
            </w:pPr>
          </w:p>
          <w:p w:rsidR="00937DA9" w:rsidRPr="00834761" w:rsidRDefault="00937DA9" w:rsidP="005E1EF2">
            <w:pPr>
              <w:pStyle w:val="ListParagraph"/>
              <w:numPr>
                <w:ilvl w:val="1"/>
                <w:numId w:val="27"/>
              </w:numPr>
              <w:tabs>
                <w:tab w:val="left" w:pos="743"/>
                <w:tab w:val="left" w:pos="1540"/>
              </w:tabs>
              <w:spacing w:after="200"/>
              <w:ind w:left="743" w:hanging="710"/>
              <w:contextualSpacing/>
              <w:rPr>
                <w:rFonts w:ascii="Arial" w:hAnsi="Arial" w:cs="Arial"/>
                <w:color w:val="0000FF"/>
                <w:u w:val="single"/>
              </w:rPr>
            </w:pPr>
            <w:r w:rsidRPr="00834761">
              <w:rPr>
                <w:rFonts w:ascii="Arial" w:hAnsi="Arial" w:cs="Arial"/>
              </w:rPr>
              <w:t xml:space="preserve">After the Assembly meets following an election and before the FM/DFM are elected and the </w:t>
            </w:r>
            <w:proofErr w:type="spellStart"/>
            <w:r w:rsidRPr="00834761">
              <w:rPr>
                <w:rFonts w:ascii="Arial" w:hAnsi="Arial" w:cs="Arial"/>
              </w:rPr>
              <w:t>d’Hondt</w:t>
            </w:r>
            <w:proofErr w:type="spellEnd"/>
            <w:r w:rsidRPr="00834761">
              <w:rPr>
                <w:rFonts w:ascii="Arial" w:hAnsi="Arial" w:cs="Arial"/>
              </w:rPr>
              <w:t xml:space="preserve"> process runs, representatives of the parties who are entitled to take up places in the Executive and who confirm their  intention to do so will meet to resolve the draft Programme for Government.  Changes to Westminster legislation (as soon as time permits) could extend the time available from seven days to fourteen days. The draft Programme would, once the Executive was formed be passed to the Assembly for appr</w:t>
            </w:r>
            <w:r w:rsidR="001F481E" w:rsidRPr="00834761">
              <w:rPr>
                <w:rFonts w:ascii="Arial" w:hAnsi="Arial" w:cs="Arial"/>
              </w:rPr>
              <w:t>oval.</w:t>
            </w:r>
            <w:r w:rsidR="00D95343">
              <w:rPr>
                <w:rFonts w:ascii="Arial" w:hAnsi="Arial" w:cs="Arial"/>
              </w:rPr>
              <w:t>”</w:t>
            </w:r>
            <w:r w:rsidR="001F481E" w:rsidRPr="00834761">
              <w:rPr>
                <w:rFonts w:ascii="Arial" w:hAnsi="Arial" w:cs="Arial"/>
              </w:rPr>
              <w:t xml:space="preserve"> </w:t>
            </w:r>
          </w:p>
          <w:p w:rsidR="00937DA9" w:rsidRDefault="00937DA9" w:rsidP="005E1EF2">
            <w:pPr>
              <w:pStyle w:val="ListParagraph"/>
              <w:tabs>
                <w:tab w:val="left" w:pos="1540"/>
              </w:tabs>
              <w:spacing w:after="200"/>
              <w:ind w:left="390"/>
              <w:contextualSpacing/>
              <w:rPr>
                <w:rFonts w:ascii="Arial" w:hAnsi="Arial" w:cs="Arial"/>
                <w:color w:val="0000FF"/>
                <w:u w:val="single"/>
              </w:rPr>
            </w:pPr>
          </w:p>
          <w:p w:rsidR="005E1EF2" w:rsidRPr="00D95343" w:rsidRDefault="00D6521C" w:rsidP="00D95343">
            <w:pPr>
              <w:pStyle w:val="ListParagraph"/>
              <w:numPr>
                <w:ilvl w:val="0"/>
                <w:numId w:val="14"/>
              </w:numPr>
              <w:tabs>
                <w:tab w:val="left" w:pos="1540"/>
              </w:tabs>
              <w:spacing w:after="200"/>
              <w:contextualSpacing/>
              <w:rPr>
                <w:rFonts w:ascii="Arial" w:hAnsi="Arial" w:cs="Arial"/>
                <w:u w:val="single"/>
              </w:rPr>
            </w:pPr>
            <w:r w:rsidRPr="00D95343">
              <w:rPr>
                <w:rFonts w:ascii="Arial" w:hAnsi="Arial" w:cs="Arial"/>
                <w:u w:val="single"/>
              </w:rPr>
              <w:t xml:space="preserve">Further Information </w:t>
            </w:r>
          </w:p>
          <w:p w:rsidR="009C12C6" w:rsidRPr="005E1EF2" w:rsidRDefault="00334A99" w:rsidP="005E1EF2">
            <w:pPr>
              <w:tabs>
                <w:tab w:val="left" w:pos="1540"/>
              </w:tabs>
              <w:spacing w:after="200"/>
              <w:contextualSpacing/>
              <w:rPr>
                <w:rFonts w:ascii="Arial" w:hAnsi="Arial" w:cs="Arial"/>
                <w:color w:val="0000FF"/>
                <w:u w:val="single"/>
              </w:rPr>
            </w:pPr>
            <w:r w:rsidRPr="005E1EF2">
              <w:rPr>
                <w:rFonts w:ascii="Arial" w:hAnsi="Arial" w:cs="Arial"/>
              </w:rPr>
              <w:t xml:space="preserve">Stakeholders </w:t>
            </w:r>
            <w:r w:rsidR="001F481E" w:rsidRPr="005E1EF2">
              <w:rPr>
                <w:rFonts w:ascii="Arial" w:hAnsi="Arial" w:cs="Arial"/>
              </w:rPr>
              <w:t>may</w:t>
            </w:r>
            <w:r w:rsidRPr="005E1EF2">
              <w:rPr>
                <w:rFonts w:ascii="Arial" w:hAnsi="Arial" w:cs="Arial"/>
              </w:rPr>
              <w:t xml:space="preserve"> wish to refer to </w:t>
            </w:r>
            <w:r w:rsidR="001F481E" w:rsidRPr="005E1EF2">
              <w:rPr>
                <w:rFonts w:ascii="Arial" w:hAnsi="Arial" w:cs="Arial"/>
              </w:rPr>
              <w:t xml:space="preserve">the Committee’s previous reports </w:t>
            </w:r>
            <w:proofErr w:type="gramStart"/>
            <w:r w:rsidR="001F481E" w:rsidRPr="005E1EF2">
              <w:rPr>
                <w:rFonts w:ascii="Arial" w:hAnsi="Arial" w:cs="Arial"/>
              </w:rPr>
              <w:t>on  the</w:t>
            </w:r>
            <w:proofErr w:type="gramEnd"/>
            <w:r w:rsidR="001F481E" w:rsidRPr="005E1EF2">
              <w:rPr>
                <w:rFonts w:ascii="Arial" w:hAnsi="Arial" w:cs="Arial"/>
              </w:rPr>
              <w:t xml:space="preserve"> Review of </w:t>
            </w:r>
            <w:proofErr w:type="spellStart"/>
            <w:r w:rsidR="001F481E" w:rsidRPr="005E1EF2">
              <w:rPr>
                <w:rFonts w:ascii="Arial" w:hAnsi="Arial" w:cs="Arial"/>
              </w:rPr>
              <w:t>D’Hondt</w:t>
            </w:r>
            <w:proofErr w:type="spellEnd"/>
            <w:r w:rsidR="001F481E" w:rsidRPr="005E1EF2">
              <w:rPr>
                <w:rFonts w:ascii="Arial" w:hAnsi="Arial" w:cs="Arial"/>
              </w:rPr>
              <w:t xml:space="preserve">, Community Designation and Provisions for Opposition and Review of Petitions of Concern.  These can be found on the Committee web page: </w:t>
            </w:r>
            <w:hyperlink r:id="rId11" w:history="1">
              <w:r w:rsidR="001F481E" w:rsidRPr="005E1EF2">
                <w:rPr>
                  <w:rStyle w:val="Hyperlink"/>
                  <w:rFonts w:ascii="Arial" w:hAnsi="Arial" w:cs="Arial"/>
                </w:rPr>
                <w:t>http://www.niassembly.gov.uk/assembly-business/committees/assembly-and-executive-review/reports/</w:t>
              </w:r>
            </w:hyperlink>
            <w:r w:rsidR="001F481E" w:rsidRPr="005E1EF2">
              <w:rPr>
                <w:rFonts w:ascii="Arial" w:hAnsi="Arial" w:cs="Arial"/>
                <w:color w:val="0000FF"/>
                <w:u w:val="single"/>
              </w:rPr>
              <w:t xml:space="preserve"> </w:t>
            </w:r>
          </w:p>
        </w:tc>
      </w:tr>
    </w:tbl>
    <w:p w:rsidR="004A6B4D" w:rsidRDefault="004A6B4D" w:rsidP="00A240C1"/>
    <w:p w:rsidR="004A6B4D" w:rsidRDefault="004A6B4D">
      <w:pPr>
        <w:spacing w:after="200" w:line="276" w:lineRule="auto"/>
      </w:pPr>
      <w: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6D9F1" w:themeColor="text2" w:themeTint="33" w:fill="auto"/>
        <w:tblLook w:val="01E0" w:firstRow="1" w:lastRow="1" w:firstColumn="1" w:lastColumn="1" w:noHBand="0" w:noVBand="0"/>
      </w:tblPr>
      <w:tblGrid>
        <w:gridCol w:w="10206"/>
      </w:tblGrid>
      <w:tr w:rsidR="004A6B4D" w:rsidRPr="00725D5D" w:rsidTr="009C12C6">
        <w:trPr>
          <w:trHeight w:val="106"/>
        </w:trPr>
        <w:tc>
          <w:tcPr>
            <w:tcW w:w="10206" w:type="dxa"/>
            <w:shd w:val="solid" w:color="C6D9F1" w:themeColor="text2" w:themeTint="33" w:fill="auto"/>
          </w:tcPr>
          <w:p w:rsidR="004A6B4D" w:rsidRDefault="004A6B4D" w:rsidP="00440055">
            <w:pPr>
              <w:jc w:val="center"/>
              <w:rPr>
                <w:rFonts w:ascii="Arial" w:hAnsi="Arial" w:cs="Arial"/>
                <w:b/>
              </w:rPr>
            </w:pPr>
            <w:r>
              <w:rPr>
                <w:rFonts w:ascii="Arial" w:hAnsi="Arial" w:cs="Arial"/>
                <w:b/>
              </w:rPr>
              <w:lastRenderedPageBreak/>
              <w:t>Section 4</w:t>
            </w:r>
          </w:p>
          <w:p w:rsidR="004A6B4D" w:rsidRDefault="004A6B4D" w:rsidP="00440055">
            <w:pPr>
              <w:jc w:val="center"/>
              <w:rPr>
                <w:rFonts w:ascii="Arial" w:hAnsi="Arial" w:cs="Arial"/>
                <w:b/>
              </w:rPr>
            </w:pPr>
          </w:p>
          <w:p w:rsidR="004A6B4D" w:rsidRPr="00010AD9" w:rsidRDefault="004A6B4D" w:rsidP="00440055">
            <w:pPr>
              <w:jc w:val="center"/>
              <w:rPr>
                <w:rFonts w:ascii="Arial" w:hAnsi="Arial" w:cs="Arial"/>
                <w:b/>
                <w:u w:val="single"/>
              </w:rPr>
            </w:pPr>
            <w:r>
              <w:rPr>
                <w:rFonts w:ascii="Arial" w:hAnsi="Arial" w:cs="Arial"/>
                <w:b/>
                <w:u w:val="single"/>
              </w:rPr>
              <w:t>Stakeholder Response to the Bill – Clause-by-Clause</w:t>
            </w:r>
          </w:p>
          <w:p w:rsidR="004A6B4D" w:rsidRPr="00725D5D" w:rsidRDefault="004A6B4D" w:rsidP="00440055">
            <w:pPr>
              <w:jc w:val="center"/>
              <w:rPr>
                <w:rFonts w:ascii="Arial" w:hAnsi="Arial" w:cs="Arial"/>
                <w:b/>
              </w:rPr>
            </w:pPr>
          </w:p>
        </w:tc>
      </w:tr>
    </w:tbl>
    <w:p w:rsidR="007D7D6B" w:rsidRDefault="007D7D6B" w:rsidP="00A240C1"/>
    <w:p w:rsidR="007D7D6B" w:rsidRDefault="007D7D6B" w:rsidP="00A240C1"/>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D7D6B" w:rsidRPr="00725D5D" w:rsidTr="00A360E8">
        <w:trPr>
          <w:trHeight w:val="106"/>
        </w:trPr>
        <w:tc>
          <w:tcPr>
            <w:tcW w:w="10206" w:type="dxa"/>
            <w:shd w:val="pct15" w:color="auto" w:fill="auto"/>
          </w:tcPr>
          <w:p w:rsidR="007D7D6B" w:rsidRPr="005C65B6" w:rsidRDefault="007D7D6B" w:rsidP="00440055">
            <w:pPr>
              <w:jc w:val="center"/>
              <w:rPr>
                <w:rFonts w:ascii="Arial" w:hAnsi="Arial" w:cs="Arial"/>
                <w:b/>
              </w:rPr>
            </w:pPr>
            <w:r>
              <w:rPr>
                <w:rFonts w:ascii="Arial" w:hAnsi="Arial" w:cs="Arial"/>
                <w:b/>
              </w:rPr>
              <w:t>Purpose</w:t>
            </w:r>
          </w:p>
          <w:p w:rsidR="007D7D6B" w:rsidRPr="00725D5D" w:rsidRDefault="007D7D6B" w:rsidP="00440055">
            <w:pPr>
              <w:rPr>
                <w:rFonts w:ascii="Arial" w:hAnsi="Arial" w:cs="Arial"/>
              </w:rPr>
            </w:pPr>
          </w:p>
        </w:tc>
      </w:tr>
      <w:tr w:rsidR="007D7D6B" w:rsidRPr="00725D5D" w:rsidTr="00A360E8">
        <w:trPr>
          <w:trHeight w:val="106"/>
        </w:trPr>
        <w:tc>
          <w:tcPr>
            <w:tcW w:w="10206" w:type="dxa"/>
            <w:shd w:val="pct10" w:color="auto" w:fill="auto"/>
          </w:tcPr>
          <w:p w:rsidR="007D7D6B" w:rsidRDefault="007D7D6B" w:rsidP="007D7D6B">
            <w:pPr>
              <w:rPr>
                <w:rFonts w:ascii="Arial" w:hAnsi="Arial" w:cs="Arial"/>
                <w:b/>
              </w:rPr>
            </w:pPr>
            <w:r>
              <w:rPr>
                <w:rFonts w:ascii="Arial" w:hAnsi="Arial" w:cs="Arial"/>
                <w:b/>
              </w:rPr>
              <w:t>Clause 1- Purpose</w:t>
            </w:r>
          </w:p>
          <w:p w:rsidR="007D7D6B" w:rsidRDefault="007D7D6B" w:rsidP="00440055">
            <w:pPr>
              <w:jc w:val="center"/>
              <w:rPr>
                <w:rFonts w:ascii="Arial" w:hAnsi="Arial" w:cs="Arial"/>
                <w:b/>
              </w:rPr>
            </w:pPr>
          </w:p>
        </w:tc>
      </w:tr>
      <w:tr w:rsidR="007D7D6B" w:rsidRPr="00725D5D" w:rsidTr="007D7D6B">
        <w:trPr>
          <w:trHeight w:val="106"/>
        </w:trPr>
        <w:tc>
          <w:tcPr>
            <w:tcW w:w="10206" w:type="dxa"/>
            <w:shd w:val="clear" w:color="auto" w:fill="auto"/>
          </w:tcPr>
          <w:p w:rsidR="007D7D6B" w:rsidRDefault="007D7D6B" w:rsidP="007D7D6B">
            <w:pPr>
              <w:rPr>
                <w:rFonts w:ascii="Arial" w:hAnsi="Arial" w:cs="Arial"/>
                <w:b/>
              </w:rPr>
            </w:pPr>
            <w:r>
              <w:rPr>
                <w:rFonts w:ascii="Arial" w:hAnsi="Arial" w:cs="Arial"/>
                <w:b/>
              </w:rPr>
              <w:t>Response</w:t>
            </w:r>
            <w:r w:rsidR="00A360E8">
              <w:rPr>
                <w:rFonts w:ascii="Arial" w:hAnsi="Arial" w:cs="Arial"/>
                <w:b/>
              </w:rPr>
              <w:t xml:space="preserve"> (This box will expand as you type):  </w:t>
            </w:r>
            <w:r>
              <w:rPr>
                <w:rFonts w:ascii="Arial" w:hAnsi="Arial" w:cs="Arial"/>
                <w:b/>
              </w:rPr>
              <w:t xml:space="preserve"> </w:t>
            </w:r>
          </w:p>
          <w:p w:rsidR="007D7D6B" w:rsidRDefault="007D7D6B" w:rsidP="007D7D6B">
            <w:pPr>
              <w:rPr>
                <w:rFonts w:ascii="Arial" w:hAnsi="Arial" w:cs="Arial"/>
                <w:b/>
              </w:rPr>
            </w:pPr>
          </w:p>
          <w:p w:rsidR="007D7D6B" w:rsidRDefault="007D7D6B" w:rsidP="007D7D6B">
            <w:pPr>
              <w:rPr>
                <w:rFonts w:ascii="Arial" w:hAnsi="Arial" w:cs="Arial"/>
                <w:b/>
              </w:rPr>
            </w:pPr>
          </w:p>
          <w:p w:rsidR="007D7D6B" w:rsidRDefault="007D7D6B" w:rsidP="007D7D6B">
            <w:pPr>
              <w:rPr>
                <w:rFonts w:ascii="Arial" w:hAnsi="Arial" w:cs="Arial"/>
                <w:b/>
              </w:rPr>
            </w:pPr>
          </w:p>
        </w:tc>
      </w:tr>
    </w:tbl>
    <w:p w:rsidR="007D7D6B" w:rsidRDefault="007D7D6B" w:rsidP="00A240C1"/>
    <w:p w:rsidR="007D7D6B" w:rsidRDefault="007D7D6B" w:rsidP="00A240C1"/>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D7D6B" w:rsidRPr="00725D5D" w:rsidTr="00A360E8">
        <w:trPr>
          <w:trHeight w:val="106"/>
        </w:trPr>
        <w:tc>
          <w:tcPr>
            <w:tcW w:w="10206" w:type="dxa"/>
            <w:shd w:val="pct15" w:color="auto" w:fill="auto"/>
          </w:tcPr>
          <w:p w:rsidR="007D7D6B" w:rsidRDefault="007D7D6B" w:rsidP="007D7D6B">
            <w:pPr>
              <w:jc w:val="center"/>
              <w:rPr>
                <w:rFonts w:ascii="Arial" w:hAnsi="Arial" w:cs="Arial"/>
                <w:b/>
              </w:rPr>
            </w:pPr>
            <w:r>
              <w:rPr>
                <w:rFonts w:ascii="Arial" w:hAnsi="Arial" w:cs="Arial"/>
                <w:b/>
              </w:rPr>
              <w:t xml:space="preserve">Assembly Opposition </w:t>
            </w:r>
          </w:p>
          <w:p w:rsidR="007D7D6B" w:rsidRPr="00725D5D" w:rsidRDefault="007D7D6B" w:rsidP="007D7D6B">
            <w:pPr>
              <w:jc w:val="center"/>
              <w:rPr>
                <w:rFonts w:ascii="Arial" w:hAnsi="Arial" w:cs="Arial"/>
              </w:rPr>
            </w:pPr>
          </w:p>
        </w:tc>
      </w:tr>
      <w:tr w:rsidR="007D7D6B" w:rsidRPr="00725D5D" w:rsidTr="00A360E8">
        <w:trPr>
          <w:trHeight w:val="106"/>
        </w:trPr>
        <w:tc>
          <w:tcPr>
            <w:tcW w:w="10206" w:type="dxa"/>
            <w:shd w:val="pct10" w:color="auto" w:fill="auto"/>
          </w:tcPr>
          <w:p w:rsidR="007D7D6B" w:rsidRDefault="007D7D6B" w:rsidP="007D7D6B">
            <w:pPr>
              <w:rPr>
                <w:rFonts w:ascii="Arial" w:hAnsi="Arial" w:cs="Arial"/>
                <w:b/>
              </w:rPr>
            </w:pPr>
            <w:r>
              <w:rPr>
                <w:rFonts w:ascii="Arial" w:hAnsi="Arial" w:cs="Arial"/>
                <w:b/>
              </w:rPr>
              <w:t xml:space="preserve">Clause 2:  Formation of the </w:t>
            </w:r>
            <w:r w:rsidR="00E26B1A">
              <w:rPr>
                <w:rFonts w:ascii="Arial" w:hAnsi="Arial" w:cs="Arial"/>
                <w:b/>
              </w:rPr>
              <w:t>Opposition</w:t>
            </w:r>
          </w:p>
          <w:p w:rsidR="007D7D6B" w:rsidRDefault="007D7D6B" w:rsidP="007D7D6B">
            <w:pPr>
              <w:rPr>
                <w:rFonts w:ascii="Arial" w:hAnsi="Arial" w:cs="Arial"/>
                <w:b/>
              </w:rPr>
            </w:pPr>
          </w:p>
        </w:tc>
      </w:tr>
      <w:tr w:rsidR="007D7D6B" w:rsidRPr="00725D5D" w:rsidTr="00A360E8">
        <w:trPr>
          <w:trHeight w:val="106"/>
        </w:trPr>
        <w:tc>
          <w:tcPr>
            <w:tcW w:w="10206" w:type="dxa"/>
            <w:shd w:val="clear" w:color="auto" w:fill="auto"/>
          </w:tcPr>
          <w:p w:rsidR="007D7D6B" w:rsidRDefault="00A360E8" w:rsidP="00440055">
            <w:pPr>
              <w:rPr>
                <w:rFonts w:ascii="Arial" w:hAnsi="Arial" w:cs="Arial"/>
                <w:b/>
              </w:rPr>
            </w:pPr>
            <w:r>
              <w:rPr>
                <w:rFonts w:ascii="Arial" w:hAnsi="Arial" w:cs="Arial"/>
                <w:b/>
              </w:rPr>
              <w:t xml:space="preserve">Response (This box will expand as you type):  </w:t>
            </w:r>
          </w:p>
          <w:p w:rsidR="007D7D6B" w:rsidRDefault="007D7D6B" w:rsidP="00440055">
            <w:pPr>
              <w:rPr>
                <w:rFonts w:ascii="Arial" w:hAnsi="Arial" w:cs="Arial"/>
                <w:b/>
              </w:rPr>
            </w:pPr>
          </w:p>
          <w:p w:rsidR="00A360E8" w:rsidRDefault="00A360E8" w:rsidP="00440055">
            <w:pPr>
              <w:rPr>
                <w:rFonts w:ascii="Arial" w:hAnsi="Arial" w:cs="Arial"/>
                <w:b/>
              </w:rPr>
            </w:pPr>
          </w:p>
          <w:p w:rsidR="00A360E8" w:rsidRDefault="00A360E8" w:rsidP="00440055">
            <w:pPr>
              <w:rPr>
                <w:rFonts w:ascii="Arial" w:hAnsi="Arial" w:cs="Arial"/>
                <w:b/>
              </w:rPr>
            </w:pPr>
          </w:p>
          <w:p w:rsidR="007D7D6B" w:rsidRDefault="007D7D6B" w:rsidP="00440055">
            <w:pPr>
              <w:rPr>
                <w:rFonts w:ascii="Arial" w:hAnsi="Arial" w:cs="Arial"/>
                <w:b/>
              </w:rPr>
            </w:pPr>
          </w:p>
        </w:tc>
      </w:tr>
      <w:tr w:rsidR="007D7D6B" w:rsidRPr="00725D5D" w:rsidTr="00A360E8">
        <w:trPr>
          <w:trHeight w:val="106"/>
        </w:trPr>
        <w:tc>
          <w:tcPr>
            <w:tcW w:w="10206" w:type="dxa"/>
            <w:shd w:val="pct10" w:color="auto" w:fill="auto"/>
          </w:tcPr>
          <w:p w:rsidR="007D7D6B" w:rsidRDefault="007D7D6B" w:rsidP="00440055">
            <w:pPr>
              <w:rPr>
                <w:rFonts w:ascii="Arial" w:hAnsi="Arial" w:cs="Arial"/>
                <w:b/>
              </w:rPr>
            </w:pPr>
            <w:r>
              <w:rPr>
                <w:rFonts w:ascii="Arial" w:hAnsi="Arial" w:cs="Arial"/>
                <w:b/>
              </w:rPr>
              <w:t xml:space="preserve">Clause 3:  Timing of formation of the </w:t>
            </w:r>
            <w:r w:rsidR="00E26B1A">
              <w:rPr>
                <w:rFonts w:ascii="Arial" w:hAnsi="Arial" w:cs="Arial"/>
                <w:b/>
              </w:rPr>
              <w:t>Opposition</w:t>
            </w:r>
          </w:p>
          <w:p w:rsidR="007D7D6B" w:rsidRDefault="007D7D6B" w:rsidP="00440055">
            <w:pPr>
              <w:rPr>
                <w:rFonts w:ascii="Arial" w:hAnsi="Arial" w:cs="Arial"/>
                <w:b/>
              </w:rPr>
            </w:pPr>
          </w:p>
        </w:tc>
      </w:tr>
      <w:tr w:rsidR="007D7D6B" w:rsidRPr="00725D5D" w:rsidTr="00A360E8">
        <w:trPr>
          <w:trHeight w:val="806"/>
        </w:trPr>
        <w:tc>
          <w:tcPr>
            <w:tcW w:w="10206" w:type="dxa"/>
            <w:shd w:val="clear" w:color="auto" w:fill="auto"/>
          </w:tcPr>
          <w:p w:rsidR="003E08B8" w:rsidRDefault="00A360E8" w:rsidP="00440055">
            <w:pPr>
              <w:rPr>
                <w:rFonts w:ascii="Arial" w:hAnsi="Arial" w:cs="Arial"/>
                <w:b/>
              </w:rPr>
            </w:pPr>
            <w:r>
              <w:rPr>
                <w:rFonts w:ascii="Arial" w:hAnsi="Arial" w:cs="Arial"/>
                <w:b/>
              </w:rPr>
              <w:t>Response (This box will expand as you type):</w:t>
            </w:r>
          </w:p>
          <w:p w:rsidR="003E08B8" w:rsidRDefault="003E08B8" w:rsidP="00440055">
            <w:pPr>
              <w:rPr>
                <w:rFonts w:ascii="Arial" w:hAnsi="Arial" w:cs="Arial"/>
                <w:b/>
              </w:rPr>
            </w:pPr>
          </w:p>
          <w:p w:rsidR="007D7D6B" w:rsidRDefault="00A360E8" w:rsidP="00440055">
            <w:pPr>
              <w:rPr>
                <w:rFonts w:ascii="Arial" w:hAnsi="Arial" w:cs="Arial"/>
                <w:b/>
              </w:rPr>
            </w:pPr>
            <w:r>
              <w:rPr>
                <w:rFonts w:ascii="Arial" w:hAnsi="Arial" w:cs="Arial"/>
                <w:b/>
              </w:rPr>
              <w:t xml:space="preserve"> </w:t>
            </w:r>
          </w:p>
          <w:p w:rsidR="007D7D6B" w:rsidRDefault="007D7D6B" w:rsidP="00440055">
            <w:pPr>
              <w:rPr>
                <w:rFonts w:ascii="Arial" w:hAnsi="Arial" w:cs="Arial"/>
                <w:b/>
              </w:rPr>
            </w:pPr>
          </w:p>
          <w:p w:rsidR="007D7D6B" w:rsidRDefault="007D7D6B" w:rsidP="00440055">
            <w:pPr>
              <w:rPr>
                <w:rFonts w:ascii="Arial" w:hAnsi="Arial" w:cs="Arial"/>
                <w:b/>
              </w:rPr>
            </w:pPr>
          </w:p>
        </w:tc>
      </w:tr>
      <w:tr w:rsidR="00A360E8" w:rsidRPr="00725D5D" w:rsidTr="00A360E8">
        <w:trPr>
          <w:trHeight w:val="535"/>
        </w:trPr>
        <w:tc>
          <w:tcPr>
            <w:tcW w:w="10206" w:type="dxa"/>
            <w:tcBorders>
              <w:top w:val="single" w:sz="4" w:space="0" w:color="auto"/>
              <w:left w:val="single" w:sz="4" w:space="0" w:color="auto"/>
              <w:bottom w:val="single" w:sz="4" w:space="0" w:color="auto"/>
              <w:right w:val="single" w:sz="4" w:space="0" w:color="auto"/>
            </w:tcBorders>
            <w:shd w:val="pct10" w:color="auto" w:fill="auto"/>
          </w:tcPr>
          <w:p w:rsidR="00A360E8" w:rsidRDefault="00A360E8" w:rsidP="00440055">
            <w:pPr>
              <w:rPr>
                <w:rFonts w:ascii="Arial" w:hAnsi="Arial" w:cs="Arial"/>
                <w:b/>
              </w:rPr>
            </w:pPr>
            <w:r>
              <w:rPr>
                <w:rFonts w:ascii="Arial" w:hAnsi="Arial" w:cs="Arial"/>
                <w:b/>
              </w:rPr>
              <w:t xml:space="preserve">Clause 4:  Membership of the Opposition </w:t>
            </w:r>
          </w:p>
        </w:tc>
      </w:tr>
      <w:tr w:rsidR="00A360E8" w:rsidRPr="00725D5D" w:rsidTr="00A360E8">
        <w:trPr>
          <w:trHeight w:val="80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A360E8" w:rsidRDefault="00A360E8" w:rsidP="00440055">
            <w:pPr>
              <w:rPr>
                <w:rFonts w:ascii="Arial" w:hAnsi="Arial" w:cs="Arial"/>
                <w:b/>
              </w:rPr>
            </w:pPr>
            <w:r>
              <w:rPr>
                <w:rFonts w:ascii="Arial" w:hAnsi="Arial" w:cs="Arial"/>
                <w:b/>
              </w:rPr>
              <w:t xml:space="preserve">Response (This box will expand as you type):  </w:t>
            </w:r>
          </w:p>
          <w:p w:rsidR="00A360E8" w:rsidRDefault="00A360E8" w:rsidP="00440055">
            <w:pPr>
              <w:rPr>
                <w:rFonts w:ascii="Arial" w:hAnsi="Arial" w:cs="Arial"/>
                <w:b/>
              </w:rPr>
            </w:pPr>
          </w:p>
          <w:p w:rsidR="00A360E8" w:rsidRDefault="00A360E8" w:rsidP="00440055">
            <w:pPr>
              <w:rPr>
                <w:rFonts w:ascii="Arial" w:hAnsi="Arial" w:cs="Arial"/>
                <w:b/>
              </w:rPr>
            </w:pPr>
          </w:p>
          <w:p w:rsidR="00A360E8" w:rsidRDefault="00A360E8" w:rsidP="00440055">
            <w:pPr>
              <w:rPr>
                <w:rFonts w:ascii="Arial" w:hAnsi="Arial" w:cs="Arial"/>
                <w:b/>
              </w:rPr>
            </w:pPr>
          </w:p>
          <w:p w:rsidR="00A360E8" w:rsidRDefault="00A360E8" w:rsidP="00440055">
            <w:pPr>
              <w:rPr>
                <w:rFonts w:ascii="Arial" w:hAnsi="Arial" w:cs="Arial"/>
                <w:b/>
              </w:rPr>
            </w:pPr>
          </w:p>
        </w:tc>
      </w:tr>
      <w:tr w:rsidR="00A360E8" w:rsidRPr="00725D5D" w:rsidTr="003E08B8">
        <w:trPr>
          <w:trHeight w:val="434"/>
        </w:trPr>
        <w:tc>
          <w:tcPr>
            <w:tcW w:w="10206" w:type="dxa"/>
            <w:tcBorders>
              <w:top w:val="single" w:sz="4" w:space="0" w:color="auto"/>
              <w:left w:val="single" w:sz="4" w:space="0" w:color="auto"/>
              <w:bottom w:val="single" w:sz="4" w:space="0" w:color="auto"/>
              <w:right w:val="single" w:sz="4" w:space="0" w:color="auto"/>
            </w:tcBorders>
            <w:shd w:val="pct10" w:color="auto" w:fill="auto"/>
          </w:tcPr>
          <w:p w:rsidR="003E08B8" w:rsidRDefault="00A360E8" w:rsidP="003E08B8">
            <w:pPr>
              <w:rPr>
                <w:rFonts w:ascii="Arial" w:hAnsi="Arial" w:cs="Arial"/>
                <w:b/>
              </w:rPr>
            </w:pPr>
            <w:r>
              <w:rPr>
                <w:rFonts w:ascii="Arial" w:hAnsi="Arial" w:cs="Arial"/>
                <w:b/>
              </w:rPr>
              <w:t xml:space="preserve">Clause </w:t>
            </w:r>
            <w:r w:rsidR="003E08B8">
              <w:rPr>
                <w:rFonts w:ascii="Arial" w:hAnsi="Arial" w:cs="Arial"/>
                <w:b/>
              </w:rPr>
              <w:t>5</w:t>
            </w:r>
            <w:r>
              <w:rPr>
                <w:rFonts w:ascii="Arial" w:hAnsi="Arial" w:cs="Arial"/>
                <w:b/>
              </w:rPr>
              <w:t xml:space="preserve">:  </w:t>
            </w:r>
            <w:r w:rsidR="003E08B8">
              <w:rPr>
                <w:rFonts w:ascii="Arial" w:hAnsi="Arial" w:cs="Arial"/>
                <w:b/>
              </w:rPr>
              <w:t xml:space="preserve">Dissolution of the Opposition </w:t>
            </w:r>
          </w:p>
          <w:p w:rsidR="00A360E8" w:rsidRDefault="00A360E8" w:rsidP="003E08B8">
            <w:pPr>
              <w:rPr>
                <w:rFonts w:ascii="Arial" w:hAnsi="Arial" w:cs="Arial"/>
                <w:b/>
              </w:rPr>
            </w:pPr>
            <w:r>
              <w:rPr>
                <w:rFonts w:ascii="Arial" w:hAnsi="Arial" w:cs="Arial"/>
                <w:b/>
              </w:rPr>
              <w:t xml:space="preserve"> </w:t>
            </w:r>
          </w:p>
        </w:tc>
      </w:tr>
      <w:tr w:rsidR="00A360E8" w:rsidRPr="00725D5D" w:rsidTr="00A360E8">
        <w:trPr>
          <w:trHeight w:val="80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A360E8" w:rsidRDefault="00A360E8" w:rsidP="00440055">
            <w:pPr>
              <w:rPr>
                <w:rFonts w:ascii="Arial" w:hAnsi="Arial" w:cs="Arial"/>
                <w:b/>
              </w:rPr>
            </w:pPr>
            <w:r>
              <w:rPr>
                <w:rFonts w:ascii="Arial" w:hAnsi="Arial" w:cs="Arial"/>
                <w:b/>
              </w:rPr>
              <w:t xml:space="preserve">Response (This box will expand as you type):  </w:t>
            </w:r>
          </w:p>
          <w:p w:rsidR="00A360E8" w:rsidRDefault="00A360E8" w:rsidP="00440055">
            <w:pPr>
              <w:rPr>
                <w:rFonts w:ascii="Arial" w:hAnsi="Arial" w:cs="Arial"/>
                <w:b/>
              </w:rPr>
            </w:pPr>
          </w:p>
          <w:p w:rsidR="00A360E8" w:rsidRDefault="00A360E8" w:rsidP="00440055">
            <w:pPr>
              <w:rPr>
                <w:rFonts w:ascii="Arial" w:hAnsi="Arial" w:cs="Arial"/>
                <w:b/>
              </w:rPr>
            </w:pPr>
          </w:p>
          <w:p w:rsidR="00A360E8" w:rsidRDefault="00A360E8" w:rsidP="00440055">
            <w:pPr>
              <w:rPr>
                <w:rFonts w:ascii="Arial" w:hAnsi="Arial" w:cs="Arial"/>
                <w:b/>
              </w:rPr>
            </w:pPr>
          </w:p>
          <w:p w:rsidR="00A360E8" w:rsidRDefault="00A360E8" w:rsidP="00440055">
            <w:pPr>
              <w:rPr>
                <w:rFonts w:ascii="Arial" w:hAnsi="Arial" w:cs="Arial"/>
                <w:b/>
              </w:rPr>
            </w:pPr>
          </w:p>
        </w:tc>
      </w:tr>
      <w:tr w:rsidR="003E08B8" w:rsidRPr="00725D5D" w:rsidTr="003E08B8">
        <w:trPr>
          <w:trHeight w:val="806"/>
        </w:trPr>
        <w:tc>
          <w:tcPr>
            <w:tcW w:w="10206" w:type="dxa"/>
            <w:tcBorders>
              <w:top w:val="single" w:sz="4" w:space="0" w:color="auto"/>
              <w:left w:val="single" w:sz="4" w:space="0" w:color="auto"/>
              <w:bottom w:val="single" w:sz="4" w:space="0" w:color="auto"/>
              <w:right w:val="single" w:sz="4" w:space="0" w:color="auto"/>
            </w:tcBorders>
            <w:shd w:val="pct10" w:color="auto" w:fill="auto"/>
          </w:tcPr>
          <w:p w:rsidR="003E08B8" w:rsidRDefault="003E08B8" w:rsidP="00440055">
            <w:pPr>
              <w:rPr>
                <w:rFonts w:ascii="Arial" w:hAnsi="Arial" w:cs="Arial"/>
                <w:b/>
              </w:rPr>
            </w:pPr>
            <w:r>
              <w:rPr>
                <w:rFonts w:ascii="Arial" w:hAnsi="Arial" w:cs="Arial"/>
                <w:b/>
              </w:rPr>
              <w:t xml:space="preserve">Clause 6: Leader and Deputy Leader of the Opposition </w:t>
            </w:r>
          </w:p>
        </w:tc>
      </w:tr>
      <w:tr w:rsidR="003E08B8" w:rsidRPr="00725D5D" w:rsidTr="003E08B8">
        <w:trPr>
          <w:trHeight w:val="80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3E08B8" w:rsidRDefault="003E08B8" w:rsidP="003E08B8">
            <w:pPr>
              <w:rPr>
                <w:rFonts w:ascii="Arial" w:hAnsi="Arial" w:cs="Arial"/>
                <w:b/>
              </w:rPr>
            </w:pPr>
            <w:r>
              <w:rPr>
                <w:rFonts w:ascii="Arial" w:hAnsi="Arial" w:cs="Arial"/>
                <w:b/>
              </w:rPr>
              <w:lastRenderedPageBreak/>
              <w:t xml:space="preserve">Response (This box will expand as you type):  </w:t>
            </w:r>
          </w:p>
          <w:p w:rsidR="003E08B8" w:rsidRDefault="003E08B8" w:rsidP="00440055">
            <w:pPr>
              <w:rPr>
                <w:rFonts w:ascii="Arial" w:hAnsi="Arial" w:cs="Arial"/>
                <w:b/>
              </w:rPr>
            </w:pPr>
          </w:p>
          <w:p w:rsidR="009C12C6" w:rsidRDefault="009C12C6" w:rsidP="00440055">
            <w:pPr>
              <w:rPr>
                <w:rFonts w:ascii="Arial" w:hAnsi="Arial" w:cs="Arial"/>
                <w:b/>
              </w:rPr>
            </w:pPr>
          </w:p>
          <w:p w:rsidR="009C12C6" w:rsidRDefault="009C12C6" w:rsidP="00440055">
            <w:pPr>
              <w:rPr>
                <w:rFonts w:ascii="Arial" w:hAnsi="Arial" w:cs="Arial"/>
                <w:b/>
              </w:rPr>
            </w:pPr>
          </w:p>
        </w:tc>
      </w:tr>
      <w:tr w:rsidR="003E08B8" w:rsidRPr="00725D5D" w:rsidTr="003E08B8">
        <w:trPr>
          <w:trHeight w:val="806"/>
        </w:trPr>
        <w:tc>
          <w:tcPr>
            <w:tcW w:w="10206" w:type="dxa"/>
            <w:tcBorders>
              <w:top w:val="single" w:sz="4" w:space="0" w:color="auto"/>
              <w:left w:val="single" w:sz="4" w:space="0" w:color="auto"/>
              <w:bottom w:val="single" w:sz="4" w:space="0" w:color="auto"/>
              <w:right w:val="single" w:sz="4" w:space="0" w:color="auto"/>
            </w:tcBorders>
            <w:shd w:val="pct10" w:color="auto" w:fill="auto"/>
          </w:tcPr>
          <w:p w:rsidR="003E08B8" w:rsidRDefault="003E08B8" w:rsidP="00440055">
            <w:pPr>
              <w:rPr>
                <w:rFonts w:ascii="Arial" w:hAnsi="Arial" w:cs="Arial"/>
                <w:b/>
              </w:rPr>
            </w:pPr>
            <w:r>
              <w:rPr>
                <w:rFonts w:ascii="Arial" w:hAnsi="Arial" w:cs="Arial"/>
                <w:b/>
              </w:rPr>
              <w:t>Clause 7: Topical qu</w:t>
            </w:r>
            <w:r w:rsidR="00E26B1A">
              <w:rPr>
                <w:rFonts w:ascii="Arial" w:hAnsi="Arial" w:cs="Arial"/>
                <w:b/>
              </w:rPr>
              <w:t xml:space="preserve">estions from Leader and Deputy </w:t>
            </w:r>
            <w:r>
              <w:rPr>
                <w:rFonts w:ascii="Arial" w:hAnsi="Arial" w:cs="Arial"/>
                <w:b/>
              </w:rPr>
              <w:t xml:space="preserve">Leader of the Opposition </w:t>
            </w:r>
          </w:p>
        </w:tc>
      </w:tr>
      <w:tr w:rsidR="003E08B8" w:rsidRPr="00725D5D" w:rsidTr="003E08B8">
        <w:trPr>
          <w:trHeight w:val="80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3E08B8" w:rsidRDefault="003E08B8" w:rsidP="003E08B8">
            <w:pPr>
              <w:rPr>
                <w:rFonts w:ascii="Arial" w:hAnsi="Arial" w:cs="Arial"/>
                <w:b/>
              </w:rPr>
            </w:pPr>
            <w:r>
              <w:rPr>
                <w:rFonts w:ascii="Arial" w:hAnsi="Arial" w:cs="Arial"/>
                <w:b/>
              </w:rPr>
              <w:t xml:space="preserve">Response (This box will expand as you type):  </w:t>
            </w:r>
          </w:p>
          <w:p w:rsidR="003E08B8" w:rsidRDefault="003E08B8" w:rsidP="00440055">
            <w:pPr>
              <w:rPr>
                <w:rFonts w:ascii="Arial" w:hAnsi="Arial" w:cs="Arial"/>
                <w:b/>
              </w:rPr>
            </w:pPr>
          </w:p>
          <w:p w:rsidR="009C12C6" w:rsidRDefault="009C12C6" w:rsidP="00440055">
            <w:pPr>
              <w:rPr>
                <w:rFonts w:ascii="Arial" w:hAnsi="Arial" w:cs="Arial"/>
                <w:b/>
              </w:rPr>
            </w:pPr>
          </w:p>
          <w:p w:rsidR="009C12C6" w:rsidRDefault="009C12C6" w:rsidP="00440055">
            <w:pPr>
              <w:rPr>
                <w:rFonts w:ascii="Arial" w:hAnsi="Arial" w:cs="Arial"/>
                <w:b/>
              </w:rPr>
            </w:pPr>
          </w:p>
          <w:p w:rsidR="009C12C6" w:rsidRDefault="009C12C6" w:rsidP="00440055">
            <w:pPr>
              <w:rPr>
                <w:rFonts w:ascii="Arial" w:hAnsi="Arial" w:cs="Arial"/>
                <w:b/>
              </w:rPr>
            </w:pPr>
          </w:p>
        </w:tc>
      </w:tr>
      <w:tr w:rsidR="003E08B8" w:rsidRPr="00725D5D" w:rsidTr="003E08B8">
        <w:trPr>
          <w:trHeight w:val="806"/>
        </w:trPr>
        <w:tc>
          <w:tcPr>
            <w:tcW w:w="10206" w:type="dxa"/>
            <w:tcBorders>
              <w:top w:val="single" w:sz="4" w:space="0" w:color="auto"/>
              <w:left w:val="single" w:sz="4" w:space="0" w:color="auto"/>
              <w:bottom w:val="single" w:sz="4" w:space="0" w:color="auto"/>
              <w:right w:val="single" w:sz="4" w:space="0" w:color="auto"/>
            </w:tcBorders>
            <w:shd w:val="pct10" w:color="auto" w:fill="auto"/>
          </w:tcPr>
          <w:p w:rsidR="003E08B8" w:rsidRDefault="003E08B8" w:rsidP="00440055">
            <w:pPr>
              <w:rPr>
                <w:rFonts w:ascii="Arial" w:hAnsi="Arial" w:cs="Arial"/>
                <w:b/>
              </w:rPr>
            </w:pPr>
            <w:r>
              <w:rPr>
                <w:rFonts w:ascii="Arial" w:hAnsi="Arial" w:cs="Arial"/>
                <w:b/>
              </w:rPr>
              <w:t xml:space="preserve">Clause 8: Enhanced speaking rights for the Opposition </w:t>
            </w:r>
          </w:p>
        </w:tc>
      </w:tr>
      <w:tr w:rsidR="003E08B8" w:rsidRPr="00725D5D" w:rsidTr="003E08B8">
        <w:trPr>
          <w:trHeight w:val="80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3E08B8" w:rsidRDefault="003E08B8" w:rsidP="003E08B8">
            <w:pPr>
              <w:rPr>
                <w:rFonts w:ascii="Arial" w:hAnsi="Arial" w:cs="Arial"/>
                <w:b/>
              </w:rPr>
            </w:pPr>
            <w:r>
              <w:rPr>
                <w:rFonts w:ascii="Arial" w:hAnsi="Arial" w:cs="Arial"/>
                <w:b/>
              </w:rPr>
              <w:t xml:space="preserve">Response (This box will expand as you type):  </w:t>
            </w:r>
          </w:p>
          <w:p w:rsidR="003E08B8" w:rsidRDefault="003E08B8" w:rsidP="00440055">
            <w:pPr>
              <w:rPr>
                <w:rFonts w:ascii="Arial" w:hAnsi="Arial" w:cs="Arial"/>
                <w:b/>
              </w:rPr>
            </w:pPr>
          </w:p>
          <w:p w:rsidR="009C12C6" w:rsidRDefault="009C12C6" w:rsidP="00440055">
            <w:pPr>
              <w:rPr>
                <w:rFonts w:ascii="Arial" w:hAnsi="Arial" w:cs="Arial"/>
                <w:b/>
              </w:rPr>
            </w:pPr>
          </w:p>
          <w:p w:rsidR="009C12C6" w:rsidRDefault="009C12C6" w:rsidP="00440055">
            <w:pPr>
              <w:rPr>
                <w:rFonts w:ascii="Arial" w:hAnsi="Arial" w:cs="Arial"/>
                <w:b/>
              </w:rPr>
            </w:pPr>
          </w:p>
          <w:p w:rsidR="009C12C6" w:rsidRDefault="009C12C6" w:rsidP="00440055">
            <w:pPr>
              <w:rPr>
                <w:rFonts w:ascii="Arial" w:hAnsi="Arial" w:cs="Arial"/>
                <w:b/>
              </w:rPr>
            </w:pPr>
          </w:p>
        </w:tc>
      </w:tr>
      <w:tr w:rsidR="003E08B8" w:rsidRPr="00725D5D" w:rsidTr="003E08B8">
        <w:trPr>
          <w:trHeight w:val="806"/>
        </w:trPr>
        <w:tc>
          <w:tcPr>
            <w:tcW w:w="10206" w:type="dxa"/>
            <w:tcBorders>
              <w:top w:val="single" w:sz="4" w:space="0" w:color="auto"/>
              <w:left w:val="single" w:sz="4" w:space="0" w:color="auto"/>
              <w:bottom w:val="single" w:sz="4" w:space="0" w:color="auto"/>
              <w:right w:val="single" w:sz="4" w:space="0" w:color="auto"/>
            </w:tcBorders>
            <w:shd w:val="pct10" w:color="auto" w:fill="auto"/>
          </w:tcPr>
          <w:p w:rsidR="003E08B8" w:rsidRDefault="003E08B8" w:rsidP="00440055">
            <w:pPr>
              <w:rPr>
                <w:rFonts w:ascii="Arial" w:hAnsi="Arial" w:cs="Arial"/>
                <w:b/>
              </w:rPr>
            </w:pPr>
            <w:r>
              <w:rPr>
                <w:rFonts w:ascii="Arial" w:hAnsi="Arial" w:cs="Arial"/>
                <w:b/>
              </w:rPr>
              <w:t>Clause 9: Opposition right</w:t>
            </w:r>
            <w:r w:rsidR="00E26B1A">
              <w:rPr>
                <w:rFonts w:ascii="Arial" w:hAnsi="Arial" w:cs="Arial"/>
                <w:b/>
              </w:rPr>
              <w:t>s</w:t>
            </w:r>
            <w:r>
              <w:rPr>
                <w:rFonts w:ascii="Arial" w:hAnsi="Arial" w:cs="Arial"/>
                <w:b/>
              </w:rPr>
              <w:t xml:space="preserve"> to chair Public Accounts Committee </w:t>
            </w:r>
          </w:p>
        </w:tc>
      </w:tr>
      <w:tr w:rsidR="003E08B8" w:rsidRPr="00725D5D" w:rsidTr="003E08B8">
        <w:trPr>
          <w:trHeight w:val="80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3E08B8" w:rsidRDefault="003E08B8" w:rsidP="003E08B8">
            <w:pPr>
              <w:rPr>
                <w:rFonts w:ascii="Arial" w:hAnsi="Arial" w:cs="Arial"/>
                <w:b/>
              </w:rPr>
            </w:pPr>
            <w:r>
              <w:rPr>
                <w:rFonts w:ascii="Arial" w:hAnsi="Arial" w:cs="Arial"/>
                <w:b/>
              </w:rPr>
              <w:t xml:space="preserve">Response (This box will expand as you type):  </w:t>
            </w:r>
          </w:p>
          <w:p w:rsidR="003E08B8" w:rsidRDefault="003E08B8" w:rsidP="00440055">
            <w:pPr>
              <w:rPr>
                <w:rFonts w:ascii="Arial" w:hAnsi="Arial" w:cs="Arial"/>
                <w:b/>
              </w:rPr>
            </w:pPr>
          </w:p>
          <w:p w:rsidR="009C12C6" w:rsidRDefault="009C12C6" w:rsidP="00440055">
            <w:pPr>
              <w:rPr>
                <w:rFonts w:ascii="Arial" w:hAnsi="Arial" w:cs="Arial"/>
                <w:b/>
              </w:rPr>
            </w:pPr>
          </w:p>
          <w:p w:rsidR="009C12C6" w:rsidRDefault="009C12C6" w:rsidP="00440055">
            <w:pPr>
              <w:rPr>
                <w:rFonts w:ascii="Arial" w:hAnsi="Arial" w:cs="Arial"/>
                <w:b/>
              </w:rPr>
            </w:pPr>
          </w:p>
          <w:p w:rsidR="009C12C6" w:rsidRDefault="009C12C6" w:rsidP="00440055">
            <w:pPr>
              <w:rPr>
                <w:rFonts w:ascii="Arial" w:hAnsi="Arial" w:cs="Arial"/>
                <w:b/>
              </w:rPr>
            </w:pPr>
          </w:p>
        </w:tc>
      </w:tr>
      <w:tr w:rsidR="003E08B8" w:rsidRPr="00725D5D" w:rsidTr="003E08B8">
        <w:trPr>
          <w:trHeight w:val="806"/>
        </w:trPr>
        <w:tc>
          <w:tcPr>
            <w:tcW w:w="10206" w:type="dxa"/>
            <w:tcBorders>
              <w:top w:val="single" w:sz="4" w:space="0" w:color="auto"/>
              <w:left w:val="single" w:sz="4" w:space="0" w:color="auto"/>
              <w:bottom w:val="single" w:sz="4" w:space="0" w:color="auto"/>
              <w:right w:val="single" w:sz="4" w:space="0" w:color="auto"/>
            </w:tcBorders>
            <w:shd w:val="pct10" w:color="auto" w:fill="auto"/>
          </w:tcPr>
          <w:p w:rsidR="003E08B8" w:rsidRDefault="003E08B8" w:rsidP="00440055">
            <w:pPr>
              <w:rPr>
                <w:rFonts w:ascii="Arial" w:hAnsi="Arial" w:cs="Arial"/>
                <w:b/>
              </w:rPr>
            </w:pPr>
            <w:r>
              <w:rPr>
                <w:rFonts w:ascii="Arial" w:hAnsi="Arial" w:cs="Arial"/>
                <w:b/>
              </w:rPr>
              <w:t xml:space="preserve">Clause 10: Membership of Business Committee for the Opposition </w:t>
            </w:r>
          </w:p>
        </w:tc>
      </w:tr>
      <w:tr w:rsidR="003E08B8" w:rsidRPr="00725D5D" w:rsidTr="003E08B8">
        <w:trPr>
          <w:trHeight w:val="80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3E08B8" w:rsidRDefault="003E08B8" w:rsidP="003E08B8">
            <w:pPr>
              <w:rPr>
                <w:rFonts w:ascii="Arial" w:hAnsi="Arial" w:cs="Arial"/>
                <w:b/>
              </w:rPr>
            </w:pPr>
            <w:r>
              <w:rPr>
                <w:rFonts w:ascii="Arial" w:hAnsi="Arial" w:cs="Arial"/>
                <w:b/>
              </w:rPr>
              <w:t xml:space="preserve">Response (This box will expand as you type):  </w:t>
            </w:r>
          </w:p>
          <w:p w:rsidR="003E08B8" w:rsidRDefault="003E08B8" w:rsidP="00440055">
            <w:pPr>
              <w:rPr>
                <w:rFonts w:ascii="Arial" w:hAnsi="Arial" w:cs="Arial"/>
                <w:b/>
              </w:rPr>
            </w:pPr>
          </w:p>
          <w:p w:rsidR="009C12C6" w:rsidRDefault="009C12C6" w:rsidP="00440055">
            <w:pPr>
              <w:rPr>
                <w:rFonts w:ascii="Arial" w:hAnsi="Arial" w:cs="Arial"/>
                <w:b/>
              </w:rPr>
            </w:pPr>
          </w:p>
          <w:p w:rsidR="009C12C6" w:rsidRDefault="009C12C6" w:rsidP="00440055">
            <w:pPr>
              <w:rPr>
                <w:rFonts w:ascii="Arial" w:hAnsi="Arial" w:cs="Arial"/>
                <w:b/>
              </w:rPr>
            </w:pPr>
          </w:p>
        </w:tc>
      </w:tr>
      <w:tr w:rsidR="003E08B8" w:rsidRPr="00725D5D" w:rsidTr="003E08B8">
        <w:trPr>
          <w:trHeight w:val="806"/>
        </w:trPr>
        <w:tc>
          <w:tcPr>
            <w:tcW w:w="10206" w:type="dxa"/>
            <w:tcBorders>
              <w:top w:val="single" w:sz="4" w:space="0" w:color="auto"/>
              <w:left w:val="single" w:sz="4" w:space="0" w:color="auto"/>
              <w:bottom w:val="single" w:sz="4" w:space="0" w:color="auto"/>
              <w:right w:val="single" w:sz="4" w:space="0" w:color="auto"/>
            </w:tcBorders>
            <w:shd w:val="pct10" w:color="auto" w:fill="auto"/>
          </w:tcPr>
          <w:p w:rsidR="003E08B8" w:rsidRDefault="003E08B8" w:rsidP="00440055">
            <w:pPr>
              <w:rPr>
                <w:rFonts w:ascii="Arial" w:hAnsi="Arial" w:cs="Arial"/>
                <w:b/>
              </w:rPr>
            </w:pPr>
            <w:r>
              <w:rPr>
                <w:rFonts w:ascii="Arial" w:hAnsi="Arial" w:cs="Arial"/>
                <w:b/>
              </w:rPr>
              <w:t xml:space="preserve">Clause 11: Financial assistance for Opposition parties </w:t>
            </w:r>
          </w:p>
        </w:tc>
      </w:tr>
      <w:tr w:rsidR="003E08B8" w:rsidRPr="00725D5D" w:rsidTr="003E08B8">
        <w:trPr>
          <w:trHeight w:val="80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3E08B8" w:rsidRDefault="003E08B8" w:rsidP="003E08B8">
            <w:pPr>
              <w:rPr>
                <w:rFonts w:ascii="Arial" w:hAnsi="Arial" w:cs="Arial"/>
                <w:b/>
              </w:rPr>
            </w:pPr>
            <w:r>
              <w:rPr>
                <w:rFonts w:ascii="Arial" w:hAnsi="Arial" w:cs="Arial"/>
                <w:b/>
              </w:rPr>
              <w:t xml:space="preserve">Response (This box will expand as you type):  </w:t>
            </w:r>
          </w:p>
          <w:p w:rsidR="003E08B8" w:rsidRDefault="003E08B8" w:rsidP="00440055">
            <w:pPr>
              <w:rPr>
                <w:rFonts w:ascii="Arial" w:hAnsi="Arial" w:cs="Arial"/>
                <w:b/>
              </w:rPr>
            </w:pPr>
          </w:p>
          <w:p w:rsidR="009C12C6" w:rsidRDefault="009C12C6" w:rsidP="00440055">
            <w:pPr>
              <w:rPr>
                <w:rFonts w:ascii="Arial" w:hAnsi="Arial" w:cs="Arial"/>
                <w:b/>
              </w:rPr>
            </w:pPr>
          </w:p>
          <w:p w:rsidR="009C12C6" w:rsidRDefault="009C12C6" w:rsidP="00440055">
            <w:pPr>
              <w:rPr>
                <w:rFonts w:ascii="Arial" w:hAnsi="Arial" w:cs="Arial"/>
                <w:b/>
              </w:rPr>
            </w:pPr>
          </w:p>
          <w:p w:rsidR="009C12C6" w:rsidRDefault="009C12C6" w:rsidP="00440055">
            <w:pPr>
              <w:rPr>
                <w:rFonts w:ascii="Arial" w:hAnsi="Arial" w:cs="Arial"/>
                <w:b/>
              </w:rPr>
            </w:pPr>
          </w:p>
        </w:tc>
      </w:tr>
      <w:tr w:rsidR="003E08B8" w:rsidRPr="00725D5D" w:rsidTr="003E08B8">
        <w:trPr>
          <w:trHeight w:val="806"/>
        </w:trPr>
        <w:tc>
          <w:tcPr>
            <w:tcW w:w="10206" w:type="dxa"/>
            <w:tcBorders>
              <w:top w:val="single" w:sz="4" w:space="0" w:color="auto"/>
              <w:left w:val="single" w:sz="4" w:space="0" w:color="auto"/>
              <w:bottom w:val="single" w:sz="4" w:space="0" w:color="auto"/>
              <w:right w:val="single" w:sz="4" w:space="0" w:color="auto"/>
            </w:tcBorders>
            <w:shd w:val="pct10" w:color="auto" w:fill="auto"/>
          </w:tcPr>
          <w:p w:rsidR="003E08B8" w:rsidRDefault="003E08B8" w:rsidP="00440055">
            <w:pPr>
              <w:rPr>
                <w:rFonts w:ascii="Arial" w:hAnsi="Arial" w:cs="Arial"/>
                <w:b/>
              </w:rPr>
            </w:pPr>
            <w:r>
              <w:rPr>
                <w:rFonts w:ascii="Arial" w:hAnsi="Arial" w:cs="Arial"/>
                <w:b/>
              </w:rPr>
              <w:t>Clause 12: Salary for office holders of the Opposition</w:t>
            </w:r>
          </w:p>
          <w:p w:rsidR="003E08B8" w:rsidRDefault="003E08B8" w:rsidP="00440055">
            <w:pPr>
              <w:rPr>
                <w:rFonts w:ascii="Arial" w:hAnsi="Arial" w:cs="Arial"/>
                <w:b/>
              </w:rPr>
            </w:pPr>
          </w:p>
        </w:tc>
      </w:tr>
      <w:tr w:rsidR="003E08B8" w:rsidRPr="00725D5D" w:rsidTr="003E08B8">
        <w:trPr>
          <w:trHeight w:val="80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3E08B8" w:rsidRDefault="003E08B8" w:rsidP="003E08B8">
            <w:pPr>
              <w:rPr>
                <w:rFonts w:ascii="Arial" w:hAnsi="Arial" w:cs="Arial"/>
                <w:b/>
              </w:rPr>
            </w:pPr>
            <w:r>
              <w:rPr>
                <w:rFonts w:ascii="Arial" w:hAnsi="Arial" w:cs="Arial"/>
                <w:b/>
              </w:rPr>
              <w:t xml:space="preserve">Response (This box will expand as you type):  </w:t>
            </w:r>
          </w:p>
          <w:p w:rsidR="003E08B8" w:rsidRDefault="003E08B8" w:rsidP="00440055">
            <w:pPr>
              <w:rPr>
                <w:rFonts w:ascii="Arial" w:hAnsi="Arial" w:cs="Arial"/>
                <w:b/>
              </w:rPr>
            </w:pPr>
          </w:p>
          <w:p w:rsidR="009C12C6" w:rsidRDefault="009C12C6" w:rsidP="00440055">
            <w:pPr>
              <w:rPr>
                <w:rFonts w:ascii="Arial" w:hAnsi="Arial" w:cs="Arial"/>
                <w:b/>
              </w:rPr>
            </w:pPr>
          </w:p>
          <w:p w:rsidR="009C12C6" w:rsidRDefault="009C12C6" w:rsidP="00440055">
            <w:pPr>
              <w:rPr>
                <w:rFonts w:ascii="Arial" w:hAnsi="Arial" w:cs="Arial"/>
                <w:b/>
              </w:rPr>
            </w:pPr>
          </w:p>
        </w:tc>
      </w:tr>
    </w:tbl>
    <w:p w:rsidR="00A360E8" w:rsidRDefault="00A360E8" w:rsidP="00A240C1"/>
    <w:tbl>
      <w:tblPr>
        <w:tblStyle w:val="TableGrid"/>
        <w:tblW w:w="10206" w:type="dxa"/>
        <w:tblInd w:w="-459" w:type="dxa"/>
        <w:tblLook w:val="04A0" w:firstRow="1" w:lastRow="0" w:firstColumn="1" w:lastColumn="0" w:noHBand="0" w:noVBand="1"/>
      </w:tblPr>
      <w:tblGrid>
        <w:gridCol w:w="10206"/>
      </w:tblGrid>
      <w:tr w:rsidR="003E08B8" w:rsidTr="003E08B8">
        <w:tc>
          <w:tcPr>
            <w:tcW w:w="10206" w:type="dxa"/>
            <w:shd w:val="pct15" w:color="auto" w:fill="auto"/>
          </w:tcPr>
          <w:p w:rsidR="003E08B8" w:rsidRPr="003E08B8" w:rsidRDefault="003E08B8" w:rsidP="003E08B8">
            <w:pPr>
              <w:spacing w:after="200" w:line="276" w:lineRule="auto"/>
              <w:jc w:val="center"/>
              <w:rPr>
                <w:rFonts w:ascii="Arial" w:hAnsi="Arial" w:cs="Arial"/>
                <w:b/>
              </w:rPr>
            </w:pPr>
            <w:r w:rsidRPr="003E08B8">
              <w:rPr>
                <w:rFonts w:ascii="Arial" w:hAnsi="Arial" w:cs="Arial"/>
                <w:b/>
              </w:rPr>
              <w:t>Assembly and Executive Reform Motion</w:t>
            </w:r>
          </w:p>
        </w:tc>
      </w:tr>
      <w:tr w:rsidR="003E08B8" w:rsidTr="003E08B8">
        <w:tc>
          <w:tcPr>
            <w:tcW w:w="10206" w:type="dxa"/>
            <w:shd w:val="pct10" w:color="auto" w:fill="auto"/>
          </w:tcPr>
          <w:p w:rsidR="003E08B8" w:rsidRDefault="003E08B8" w:rsidP="00440055">
            <w:pPr>
              <w:spacing w:after="200" w:line="276" w:lineRule="auto"/>
            </w:pPr>
            <w:r>
              <w:rPr>
                <w:rFonts w:ascii="Arial" w:hAnsi="Arial" w:cs="Arial"/>
                <w:b/>
              </w:rPr>
              <w:t>Clause 1</w:t>
            </w:r>
            <w:r w:rsidR="00440055">
              <w:rPr>
                <w:rFonts w:ascii="Arial" w:hAnsi="Arial" w:cs="Arial"/>
                <w:b/>
              </w:rPr>
              <w:t>3</w:t>
            </w:r>
            <w:r>
              <w:rPr>
                <w:rFonts w:ascii="Arial" w:hAnsi="Arial" w:cs="Arial"/>
                <w:b/>
              </w:rPr>
              <w:t>:</w:t>
            </w:r>
            <w:r w:rsidR="00440055">
              <w:rPr>
                <w:rFonts w:ascii="Arial" w:hAnsi="Arial" w:cs="Arial"/>
                <w:b/>
              </w:rPr>
              <w:t xml:space="preserve"> Assembly and Executive Reform Motion </w:t>
            </w:r>
          </w:p>
        </w:tc>
      </w:tr>
      <w:tr w:rsidR="003E08B8" w:rsidTr="003E08B8">
        <w:tc>
          <w:tcPr>
            <w:tcW w:w="10206" w:type="dxa"/>
          </w:tcPr>
          <w:p w:rsidR="00440055" w:rsidRDefault="00440055" w:rsidP="00440055">
            <w:pPr>
              <w:rPr>
                <w:rFonts w:ascii="Arial" w:hAnsi="Arial" w:cs="Arial"/>
                <w:b/>
              </w:rPr>
            </w:pPr>
            <w:r>
              <w:rPr>
                <w:rFonts w:ascii="Arial" w:hAnsi="Arial" w:cs="Arial"/>
                <w:b/>
              </w:rPr>
              <w:t xml:space="preserve">Response (This box will expand as you type):  </w:t>
            </w:r>
          </w:p>
          <w:p w:rsidR="003E08B8" w:rsidRDefault="003E08B8">
            <w:pPr>
              <w:spacing w:after="200" w:line="276" w:lineRule="auto"/>
            </w:pPr>
          </w:p>
          <w:p w:rsidR="009C12C6" w:rsidRDefault="009C12C6">
            <w:pPr>
              <w:spacing w:after="200" w:line="276" w:lineRule="auto"/>
            </w:pPr>
          </w:p>
          <w:p w:rsidR="009C12C6" w:rsidRDefault="009C12C6">
            <w:pPr>
              <w:spacing w:after="200" w:line="276" w:lineRule="auto"/>
            </w:pPr>
          </w:p>
        </w:tc>
      </w:tr>
      <w:tr w:rsidR="003E08B8" w:rsidTr="00440055">
        <w:tc>
          <w:tcPr>
            <w:tcW w:w="10206" w:type="dxa"/>
            <w:shd w:val="pct10" w:color="auto" w:fill="auto"/>
          </w:tcPr>
          <w:p w:rsidR="003E08B8" w:rsidRPr="00440055" w:rsidRDefault="00440055">
            <w:pPr>
              <w:spacing w:after="200" w:line="276" w:lineRule="auto"/>
              <w:rPr>
                <w:rFonts w:ascii="Arial" w:hAnsi="Arial" w:cs="Arial"/>
                <w:b/>
              </w:rPr>
            </w:pPr>
            <w:r w:rsidRPr="00440055">
              <w:rPr>
                <w:rFonts w:ascii="Arial" w:hAnsi="Arial" w:cs="Arial"/>
                <w:b/>
              </w:rPr>
              <w:t xml:space="preserve">Clause 14: Tabling of Assembly and Executive Reform Motion </w:t>
            </w:r>
          </w:p>
        </w:tc>
      </w:tr>
      <w:tr w:rsidR="003E08B8" w:rsidTr="003E08B8">
        <w:tc>
          <w:tcPr>
            <w:tcW w:w="10206" w:type="dxa"/>
          </w:tcPr>
          <w:p w:rsidR="00440055" w:rsidRDefault="00440055" w:rsidP="00440055">
            <w:pPr>
              <w:rPr>
                <w:rFonts w:ascii="Arial" w:hAnsi="Arial" w:cs="Arial"/>
                <w:b/>
              </w:rPr>
            </w:pPr>
            <w:r>
              <w:rPr>
                <w:rFonts w:ascii="Arial" w:hAnsi="Arial" w:cs="Arial"/>
                <w:b/>
              </w:rPr>
              <w:t xml:space="preserve">Response (This box will expand as you type):  </w:t>
            </w:r>
          </w:p>
          <w:p w:rsidR="00440055" w:rsidRDefault="00440055" w:rsidP="00440055">
            <w:pPr>
              <w:rPr>
                <w:rFonts w:ascii="Arial" w:hAnsi="Arial" w:cs="Arial"/>
                <w:b/>
              </w:rPr>
            </w:pPr>
          </w:p>
          <w:p w:rsidR="00440055" w:rsidRDefault="00440055" w:rsidP="00440055">
            <w:pPr>
              <w:rPr>
                <w:rFonts w:ascii="Arial" w:hAnsi="Arial" w:cs="Arial"/>
                <w:b/>
              </w:rPr>
            </w:pPr>
          </w:p>
          <w:p w:rsidR="009C12C6" w:rsidRDefault="009C12C6" w:rsidP="00440055">
            <w:pPr>
              <w:rPr>
                <w:rFonts w:ascii="Arial" w:hAnsi="Arial" w:cs="Arial"/>
                <w:b/>
              </w:rPr>
            </w:pPr>
          </w:p>
          <w:p w:rsidR="003E08B8" w:rsidRDefault="003E08B8">
            <w:pPr>
              <w:spacing w:after="200" w:line="276" w:lineRule="auto"/>
            </w:pPr>
          </w:p>
        </w:tc>
      </w:tr>
      <w:tr w:rsidR="003E08B8" w:rsidTr="00440055">
        <w:tc>
          <w:tcPr>
            <w:tcW w:w="10206" w:type="dxa"/>
            <w:shd w:val="pct10" w:color="auto" w:fill="auto"/>
          </w:tcPr>
          <w:p w:rsidR="003E08B8" w:rsidRPr="00440055" w:rsidRDefault="00440055">
            <w:pPr>
              <w:spacing w:after="200" w:line="276" w:lineRule="auto"/>
              <w:rPr>
                <w:rFonts w:ascii="Arial" w:hAnsi="Arial" w:cs="Arial"/>
                <w:b/>
              </w:rPr>
            </w:pPr>
            <w:r>
              <w:rPr>
                <w:rFonts w:ascii="Arial" w:hAnsi="Arial" w:cs="Arial"/>
                <w:b/>
              </w:rPr>
              <w:t xml:space="preserve">Clause 15: Reports by the AERC </w:t>
            </w:r>
          </w:p>
        </w:tc>
      </w:tr>
      <w:tr w:rsidR="003E08B8" w:rsidTr="003E08B8">
        <w:tc>
          <w:tcPr>
            <w:tcW w:w="10206" w:type="dxa"/>
          </w:tcPr>
          <w:p w:rsidR="00440055" w:rsidRDefault="00440055" w:rsidP="00440055">
            <w:pPr>
              <w:rPr>
                <w:rFonts w:ascii="Arial" w:hAnsi="Arial" w:cs="Arial"/>
                <w:b/>
              </w:rPr>
            </w:pPr>
            <w:r>
              <w:rPr>
                <w:rFonts w:ascii="Arial" w:hAnsi="Arial" w:cs="Arial"/>
                <w:b/>
              </w:rPr>
              <w:t xml:space="preserve">Response (This box will expand as you type):  </w:t>
            </w:r>
          </w:p>
          <w:p w:rsidR="003E08B8" w:rsidRDefault="003E08B8">
            <w:pPr>
              <w:spacing w:after="200" w:line="276" w:lineRule="auto"/>
            </w:pPr>
          </w:p>
          <w:p w:rsidR="009C12C6" w:rsidRDefault="009C12C6">
            <w:pPr>
              <w:spacing w:after="200" w:line="276" w:lineRule="auto"/>
            </w:pPr>
          </w:p>
          <w:p w:rsidR="009C12C6" w:rsidRDefault="009C12C6">
            <w:pPr>
              <w:spacing w:after="200" w:line="276" w:lineRule="auto"/>
            </w:pPr>
          </w:p>
        </w:tc>
      </w:tr>
    </w:tbl>
    <w:p w:rsidR="00440055" w:rsidRDefault="00440055">
      <w:pPr>
        <w:spacing w:after="200" w:line="276" w:lineRule="auto"/>
      </w:pPr>
    </w:p>
    <w:tbl>
      <w:tblPr>
        <w:tblStyle w:val="TableGrid"/>
        <w:tblW w:w="10206" w:type="dxa"/>
        <w:tblInd w:w="-459" w:type="dxa"/>
        <w:tblLook w:val="04A0" w:firstRow="1" w:lastRow="0" w:firstColumn="1" w:lastColumn="0" w:noHBand="0" w:noVBand="1"/>
      </w:tblPr>
      <w:tblGrid>
        <w:gridCol w:w="10206"/>
      </w:tblGrid>
      <w:tr w:rsidR="00440055" w:rsidRPr="00440055" w:rsidTr="00440055">
        <w:tc>
          <w:tcPr>
            <w:tcW w:w="10206" w:type="dxa"/>
            <w:shd w:val="pct15" w:color="auto" w:fill="auto"/>
          </w:tcPr>
          <w:p w:rsidR="00440055" w:rsidRPr="00440055" w:rsidRDefault="00440055" w:rsidP="00440055">
            <w:pPr>
              <w:spacing w:after="200" w:line="276" w:lineRule="auto"/>
              <w:jc w:val="center"/>
              <w:rPr>
                <w:rFonts w:ascii="Arial" w:hAnsi="Arial" w:cs="Arial"/>
                <w:b/>
              </w:rPr>
            </w:pPr>
            <w:r w:rsidRPr="00440055">
              <w:rPr>
                <w:rFonts w:ascii="Arial" w:hAnsi="Arial" w:cs="Arial"/>
                <w:b/>
              </w:rPr>
              <w:t>Technical groups within the Opposition</w:t>
            </w:r>
          </w:p>
        </w:tc>
      </w:tr>
      <w:tr w:rsidR="00440055" w:rsidTr="009C12C6">
        <w:tc>
          <w:tcPr>
            <w:tcW w:w="10206" w:type="dxa"/>
            <w:shd w:val="pct10" w:color="auto" w:fill="auto"/>
          </w:tcPr>
          <w:p w:rsidR="00440055" w:rsidRDefault="00440055">
            <w:pPr>
              <w:spacing w:after="200" w:line="276" w:lineRule="auto"/>
            </w:pPr>
            <w:r>
              <w:rPr>
                <w:rFonts w:ascii="Arial" w:hAnsi="Arial" w:cs="Arial"/>
                <w:b/>
              </w:rPr>
              <w:t xml:space="preserve">Clause 16:Formation of technical groups within the Opposition </w:t>
            </w:r>
          </w:p>
        </w:tc>
      </w:tr>
      <w:tr w:rsidR="00440055" w:rsidTr="00440055">
        <w:tc>
          <w:tcPr>
            <w:tcW w:w="10206" w:type="dxa"/>
          </w:tcPr>
          <w:p w:rsidR="00440055" w:rsidRDefault="00440055" w:rsidP="00440055">
            <w:pPr>
              <w:rPr>
                <w:rFonts w:ascii="Arial" w:hAnsi="Arial" w:cs="Arial"/>
                <w:b/>
              </w:rPr>
            </w:pPr>
            <w:r>
              <w:rPr>
                <w:rFonts w:ascii="Arial" w:hAnsi="Arial" w:cs="Arial"/>
                <w:b/>
              </w:rPr>
              <w:t xml:space="preserve">Response (This box will expand as you type):  </w:t>
            </w:r>
          </w:p>
          <w:p w:rsidR="009C12C6" w:rsidRDefault="009C12C6" w:rsidP="00440055">
            <w:pPr>
              <w:rPr>
                <w:rFonts w:ascii="Arial" w:hAnsi="Arial" w:cs="Arial"/>
                <w:b/>
              </w:rPr>
            </w:pPr>
          </w:p>
          <w:p w:rsidR="009C12C6" w:rsidRDefault="009C12C6" w:rsidP="00440055">
            <w:pPr>
              <w:rPr>
                <w:rFonts w:ascii="Arial" w:hAnsi="Arial" w:cs="Arial"/>
                <w:b/>
              </w:rPr>
            </w:pPr>
          </w:p>
          <w:p w:rsidR="00440055" w:rsidRDefault="00440055">
            <w:pPr>
              <w:spacing w:after="200" w:line="276" w:lineRule="auto"/>
            </w:pPr>
          </w:p>
        </w:tc>
      </w:tr>
      <w:tr w:rsidR="00440055" w:rsidTr="009C12C6">
        <w:tc>
          <w:tcPr>
            <w:tcW w:w="10206" w:type="dxa"/>
            <w:shd w:val="pct10" w:color="auto" w:fill="auto"/>
          </w:tcPr>
          <w:p w:rsidR="00440055" w:rsidRDefault="00440055">
            <w:pPr>
              <w:spacing w:after="200" w:line="276" w:lineRule="auto"/>
            </w:pPr>
            <w:r>
              <w:rPr>
                <w:rFonts w:ascii="Arial" w:hAnsi="Arial" w:cs="Arial"/>
                <w:b/>
              </w:rPr>
              <w:t>Clause 17: Membership of Business Committee for technical groups</w:t>
            </w:r>
          </w:p>
        </w:tc>
      </w:tr>
      <w:tr w:rsidR="00440055" w:rsidTr="00440055">
        <w:tc>
          <w:tcPr>
            <w:tcW w:w="10206" w:type="dxa"/>
          </w:tcPr>
          <w:p w:rsidR="00440055" w:rsidRDefault="00440055" w:rsidP="00440055">
            <w:pPr>
              <w:rPr>
                <w:rFonts w:ascii="Arial" w:hAnsi="Arial" w:cs="Arial"/>
                <w:b/>
              </w:rPr>
            </w:pPr>
            <w:r>
              <w:rPr>
                <w:rFonts w:ascii="Arial" w:hAnsi="Arial" w:cs="Arial"/>
                <w:b/>
              </w:rPr>
              <w:t xml:space="preserve">Response (This box will expand as you type):  </w:t>
            </w:r>
          </w:p>
          <w:p w:rsidR="00440055" w:rsidRDefault="00440055">
            <w:pPr>
              <w:spacing w:after="200" w:line="276" w:lineRule="auto"/>
            </w:pPr>
          </w:p>
          <w:p w:rsidR="009C12C6" w:rsidRDefault="009C12C6">
            <w:pPr>
              <w:spacing w:after="200" w:line="276" w:lineRule="auto"/>
            </w:pPr>
          </w:p>
          <w:p w:rsidR="009C12C6" w:rsidRDefault="009C12C6">
            <w:pPr>
              <w:spacing w:after="200" w:line="276" w:lineRule="auto"/>
            </w:pPr>
          </w:p>
        </w:tc>
      </w:tr>
    </w:tbl>
    <w:p w:rsidR="00440055" w:rsidRDefault="00440055">
      <w:pPr>
        <w:spacing w:after="200" w:line="276" w:lineRule="auto"/>
      </w:pPr>
    </w:p>
    <w:tbl>
      <w:tblPr>
        <w:tblStyle w:val="TableGrid"/>
        <w:tblW w:w="10206" w:type="dxa"/>
        <w:tblInd w:w="-459" w:type="dxa"/>
        <w:tblLook w:val="04A0" w:firstRow="1" w:lastRow="0" w:firstColumn="1" w:lastColumn="0" w:noHBand="0" w:noVBand="1"/>
      </w:tblPr>
      <w:tblGrid>
        <w:gridCol w:w="10206"/>
      </w:tblGrid>
      <w:tr w:rsidR="00440055" w:rsidRPr="00440055" w:rsidTr="00440055">
        <w:tc>
          <w:tcPr>
            <w:tcW w:w="10206" w:type="dxa"/>
            <w:shd w:val="pct15" w:color="auto" w:fill="auto"/>
          </w:tcPr>
          <w:p w:rsidR="00440055" w:rsidRPr="00440055" w:rsidRDefault="00440055" w:rsidP="00440055">
            <w:pPr>
              <w:spacing w:after="200" w:line="276" w:lineRule="auto"/>
              <w:jc w:val="center"/>
              <w:rPr>
                <w:rFonts w:ascii="Arial" w:hAnsi="Arial" w:cs="Arial"/>
                <w:b/>
              </w:rPr>
            </w:pPr>
            <w:r>
              <w:rPr>
                <w:rFonts w:ascii="Arial" w:hAnsi="Arial" w:cs="Arial"/>
                <w:b/>
              </w:rPr>
              <w:lastRenderedPageBreak/>
              <w:t xml:space="preserve">Topical Questions </w:t>
            </w:r>
          </w:p>
        </w:tc>
      </w:tr>
      <w:tr w:rsidR="00440055" w:rsidTr="009C12C6">
        <w:tc>
          <w:tcPr>
            <w:tcW w:w="10206" w:type="dxa"/>
            <w:shd w:val="pct10" w:color="auto" w:fill="auto"/>
          </w:tcPr>
          <w:p w:rsidR="00440055" w:rsidRDefault="00440055" w:rsidP="00440055">
            <w:pPr>
              <w:spacing w:after="200" w:line="276" w:lineRule="auto"/>
            </w:pPr>
            <w:r>
              <w:rPr>
                <w:rFonts w:ascii="Arial" w:hAnsi="Arial" w:cs="Arial"/>
                <w:b/>
              </w:rPr>
              <w:t xml:space="preserve">Clause 18:First topical question to Minister from chairperson of statutory committee  </w:t>
            </w:r>
          </w:p>
        </w:tc>
      </w:tr>
      <w:tr w:rsidR="00440055" w:rsidTr="00440055">
        <w:tc>
          <w:tcPr>
            <w:tcW w:w="10206" w:type="dxa"/>
          </w:tcPr>
          <w:p w:rsidR="00440055" w:rsidRDefault="00440055" w:rsidP="00440055">
            <w:pPr>
              <w:rPr>
                <w:rFonts w:ascii="Arial" w:hAnsi="Arial" w:cs="Arial"/>
                <w:b/>
              </w:rPr>
            </w:pPr>
            <w:r>
              <w:rPr>
                <w:rFonts w:ascii="Arial" w:hAnsi="Arial" w:cs="Arial"/>
                <w:b/>
              </w:rPr>
              <w:t xml:space="preserve">Response (This box will expand as you type):  </w:t>
            </w:r>
          </w:p>
          <w:p w:rsidR="00440055" w:rsidRDefault="00440055" w:rsidP="00440055">
            <w:pPr>
              <w:spacing w:after="200" w:line="276" w:lineRule="auto"/>
            </w:pPr>
          </w:p>
          <w:p w:rsidR="009C12C6" w:rsidRDefault="009C12C6" w:rsidP="00440055">
            <w:pPr>
              <w:spacing w:after="200" w:line="276" w:lineRule="auto"/>
            </w:pPr>
          </w:p>
          <w:p w:rsidR="009C12C6" w:rsidRDefault="009C12C6" w:rsidP="00440055">
            <w:pPr>
              <w:spacing w:after="200" w:line="276" w:lineRule="auto"/>
            </w:pPr>
          </w:p>
        </w:tc>
      </w:tr>
    </w:tbl>
    <w:p w:rsidR="00440055" w:rsidRDefault="00440055">
      <w:pPr>
        <w:spacing w:after="200" w:line="276" w:lineRule="auto"/>
      </w:pPr>
    </w:p>
    <w:p w:rsidR="009C12C6" w:rsidRDefault="009C12C6">
      <w:pPr>
        <w:spacing w:after="200" w:line="276" w:lineRule="auto"/>
      </w:pPr>
    </w:p>
    <w:tbl>
      <w:tblPr>
        <w:tblStyle w:val="TableGrid"/>
        <w:tblW w:w="10206" w:type="dxa"/>
        <w:tblInd w:w="-459" w:type="dxa"/>
        <w:tblLook w:val="04A0" w:firstRow="1" w:lastRow="0" w:firstColumn="1" w:lastColumn="0" w:noHBand="0" w:noVBand="1"/>
      </w:tblPr>
      <w:tblGrid>
        <w:gridCol w:w="10206"/>
      </w:tblGrid>
      <w:tr w:rsidR="00440055" w:rsidRPr="00440055" w:rsidTr="00440055">
        <w:tc>
          <w:tcPr>
            <w:tcW w:w="10206" w:type="dxa"/>
            <w:shd w:val="pct15" w:color="auto" w:fill="auto"/>
          </w:tcPr>
          <w:p w:rsidR="00440055" w:rsidRPr="00440055" w:rsidRDefault="00440055" w:rsidP="00440055">
            <w:pPr>
              <w:spacing w:after="200" w:line="276" w:lineRule="auto"/>
              <w:jc w:val="center"/>
              <w:rPr>
                <w:rFonts w:ascii="Arial" w:hAnsi="Arial" w:cs="Arial"/>
                <w:b/>
              </w:rPr>
            </w:pPr>
            <w:r>
              <w:rPr>
                <w:rFonts w:ascii="Arial" w:hAnsi="Arial" w:cs="Arial"/>
                <w:b/>
              </w:rPr>
              <w:t xml:space="preserve">Budget Committee  </w:t>
            </w:r>
          </w:p>
        </w:tc>
      </w:tr>
      <w:tr w:rsidR="00440055" w:rsidTr="009C12C6">
        <w:tc>
          <w:tcPr>
            <w:tcW w:w="10206" w:type="dxa"/>
            <w:shd w:val="pct10" w:color="auto" w:fill="auto"/>
          </w:tcPr>
          <w:p w:rsidR="00440055" w:rsidRDefault="00440055" w:rsidP="00440055">
            <w:pPr>
              <w:spacing w:after="200" w:line="276" w:lineRule="auto"/>
            </w:pPr>
            <w:r>
              <w:rPr>
                <w:rFonts w:ascii="Arial" w:hAnsi="Arial" w:cs="Arial"/>
                <w:b/>
              </w:rPr>
              <w:t xml:space="preserve">Clause 19: Establishment of Budget Committee  </w:t>
            </w:r>
          </w:p>
        </w:tc>
      </w:tr>
      <w:tr w:rsidR="00440055" w:rsidTr="00440055">
        <w:tc>
          <w:tcPr>
            <w:tcW w:w="10206" w:type="dxa"/>
          </w:tcPr>
          <w:p w:rsidR="00440055" w:rsidRDefault="00440055" w:rsidP="00440055">
            <w:pPr>
              <w:rPr>
                <w:rFonts w:ascii="Arial" w:hAnsi="Arial" w:cs="Arial"/>
                <w:b/>
              </w:rPr>
            </w:pPr>
            <w:r>
              <w:rPr>
                <w:rFonts w:ascii="Arial" w:hAnsi="Arial" w:cs="Arial"/>
                <w:b/>
              </w:rPr>
              <w:t xml:space="preserve">Response (This box will expand as you type):  </w:t>
            </w:r>
          </w:p>
          <w:p w:rsidR="009C12C6" w:rsidRDefault="009C12C6" w:rsidP="00440055">
            <w:pPr>
              <w:rPr>
                <w:rFonts w:ascii="Arial" w:hAnsi="Arial" w:cs="Arial"/>
                <w:b/>
              </w:rPr>
            </w:pPr>
          </w:p>
          <w:p w:rsidR="009C12C6" w:rsidRDefault="009C12C6" w:rsidP="00440055">
            <w:pPr>
              <w:rPr>
                <w:rFonts w:ascii="Arial" w:hAnsi="Arial" w:cs="Arial"/>
                <w:b/>
              </w:rPr>
            </w:pPr>
          </w:p>
          <w:p w:rsidR="00440055" w:rsidRDefault="00440055" w:rsidP="00440055">
            <w:pPr>
              <w:spacing w:after="200" w:line="276" w:lineRule="auto"/>
            </w:pPr>
          </w:p>
          <w:p w:rsidR="009C12C6" w:rsidRDefault="009C12C6" w:rsidP="00440055">
            <w:pPr>
              <w:spacing w:after="200" w:line="276" w:lineRule="auto"/>
            </w:pPr>
          </w:p>
        </w:tc>
      </w:tr>
    </w:tbl>
    <w:p w:rsidR="00440055" w:rsidRDefault="00440055">
      <w:pPr>
        <w:spacing w:after="200" w:line="276" w:lineRule="auto"/>
      </w:pPr>
    </w:p>
    <w:p w:rsidR="009C12C6" w:rsidRDefault="009C12C6">
      <w:pPr>
        <w:spacing w:after="200" w:line="276" w:lineRule="auto"/>
      </w:pPr>
    </w:p>
    <w:tbl>
      <w:tblPr>
        <w:tblStyle w:val="TableGrid"/>
        <w:tblW w:w="10206" w:type="dxa"/>
        <w:tblInd w:w="-459" w:type="dxa"/>
        <w:tblLook w:val="04A0" w:firstRow="1" w:lastRow="0" w:firstColumn="1" w:lastColumn="0" w:noHBand="0" w:noVBand="1"/>
      </w:tblPr>
      <w:tblGrid>
        <w:gridCol w:w="10206"/>
      </w:tblGrid>
      <w:tr w:rsidR="00440055" w:rsidRPr="00440055" w:rsidTr="00440055">
        <w:tc>
          <w:tcPr>
            <w:tcW w:w="10206" w:type="dxa"/>
            <w:shd w:val="pct15" w:color="auto" w:fill="auto"/>
          </w:tcPr>
          <w:p w:rsidR="00440055" w:rsidRPr="00440055" w:rsidRDefault="00440055" w:rsidP="00440055">
            <w:pPr>
              <w:spacing w:after="200" w:line="276" w:lineRule="auto"/>
              <w:jc w:val="center"/>
              <w:rPr>
                <w:rFonts w:ascii="Arial" w:hAnsi="Arial" w:cs="Arial"/>
                <w:b/>
              </w:rPr>
            </w:pPr>
            <w:r>
              <w:rPr>
                <w:rFonts w:ascii="Arial" w:hAnsi="Arial" w:cs="Arial"/>
                <w:b/>
              </w:rPr>
              <w:t xml:space="preserve">Office of the First Ministers </w:t>
            </w:r>
          </w:p>
        </w:tc>
      </w:tr>
      <w:tr w:rsidR="00440055" w:rsidTr="009C12C6">
        <w:tc>
          <w:tcPr>
            <w:tcW w:w="10206" w:type="dxa"/>
            <w:shd w:val="pct10" w:color="auto" w:fill="auto"/>
          </w:tcPr>
          <w:p w:rsidR="00440055" w:rsidRDefault="00440055" w:rsidP="00440055">
            <w:pPr>
              <w:spacing w:after="200" w:line="276" w:lineRule="auto"/>
            </w:pPr>
            <w:r>
              <w:rPr>
                <w:rFonts w:ascii="Arial" w:hAnsi="Arial" w:cs="Arial"/>
                <w:b/>
              </w:rPr>
              <w:t xml:space="preserve">Clause 20:Renaming of the Office of the First Minister and deputy First Minister  </w:t>
            </w:r>
          </w:p>
        </w:tc>
      </w:tr>
      <w:tr w:rsidR="00440055" w:rsidTr="00440055">
        <w:tc>
          <w:tcPr>
            <w:tcW w:w="10206" w:type="dxa"/>
          </w:tcPr>
          <w:p w:rsidR="00440055" w:rsidRDefault="00440055" w:rsidP="00440055">
            <w:pPr>
              <w:rPr>
                <w:rFonts w:ascii="Arial" w:hAnsi="Arial" w:cs="Arial"/>
                <w:b/>
              </w:rPr>
            </w:pPr>
            <w:r>
              <w:rPr>
                <w:rFonts w:ascii="Arial" w:hAnsi="Arial" w:cs="Arial"/>
                <w:b/>
              </w:rPr>
              <w:t xml:space="preserve">Response (This box will expand as you type):  </w:t>
            </w:r>
          </w:p>
          <w:p w:rsidR="00440055" w:rsidRDefault="00440055" w:rsidP="00440055">
            <w:pPr>
              <w:spacing w:after="200" w:line="276" w:lineRule="auto"/>
            </w:pPr>
          </w:p>
          <w:p w:rsidR="009C12C6" w:rsidRDefault="009C12C6" w:rsidP="00440055">
            <w:pPr>
              <w:spacing w:after="200" w:line="276" w:lineRule="auto"/>
            </w:pPr>
          </w:p>
          <w:p w:rsidR="009C12C6" w:rsidRDefault="009C12C6" w:rsidP="00440055">
            <w:pPr>
              <w:spacing w:after="200" w:line="276" w:lineRule="auto"/>
            </w:pPr>
          </w:p>
        </w:tc>
      </w:tr>
    </w:tbl>
    <w:p w:rsidR="009C12C6" w:rsidRDefault="009C12C6">
      <w:pPr>
        <w:spacing w:after="200" w:line="276" w:lineRule="auto"/>
      </w:pPr>
    </w:p>
    <w:tbl>
      <w:tblPr>
        <w:tblStyle w:val="TableGrid"/>
        <w:tblW w:w="10206" w:type="dxa"/>
        <w:tblInd w:w="-459" w:type="dxa"/>
        <w:tblLook w:val="04A0" w:firstRow="1" w:lastRow="0" w:firstColumn="1" w:lastColumn="0" w:noHBand="0" w:noVBand="1"/>
      </w:tblPr>
      <w:tblGrid>
        <w:gridCol w:w="10206"/>
      </w:tblGrid>
      <w:tr w:rsidR="00440055" w:rsidRPr="00440055" w:rsidTr="00440055">
        <w:tc>
          <w:tcPr>
            <w:tcW w:w="10206" w:type="dxa"/>
            <w:shd w:val="pct15" w:color="auto" w:fill="auto"/>
          </w:tcPr>
          <w:p w:rsidR="00440055" w:rsidRPr="00440055" w:rsidRDefault="00440055" w:rsidP="00440055">
            <w:pPr>
              <w:spacing w:after="200" w:line="276" w:lineRule="auto"/>
              <w:jc w:val="center"/>
              <w:rPr>
                <w:rFonts w:ascii="Arial" w:hAnsi="Arial" w:cs="Arial"/>
                <w:b/>
              </w:rPr>
            </w:pPr>
            <w:r>
              <w:rPr>
                <w:rFonts w:ascii="Arial" w:hAnsi="Arial" w:cs="Arial"/>
                <w:b/>
              </w:rPr>
              <w:t xml:space="preserve">Northern Ireland departments </w:t>
            </w:r>
          </w:p>
        </w:tc>
      </w:tr>
      <w:tr w:rsidR="00440055" w:rsidTr="009C12C6">
        <w:tc>
          <w:tcPr>
            <w:tcW w:w="10206" w:type="dxa"/>
            <w:shd w:val="pct10" w:color="auto" w:fill="auto"/>
          </w:tcPr>
          <w:p w:rsidR="00440055" w:rsidRDefault="00440055" w:rsidP="00440055">
            <w:pPr>
              <w:spacing w:after="200" w:line="276" w:lineRule="auto"/>
            </w:pPr>
            <w:r>
              <w:rPr>
                <w:rFonts w:ascii="Arial" w:hAnsi="Arial" w:cs="Arial"/>
                <w:b/>
              </w:rPr>
              <w:t xml:space="preserve">Clause 21: Departments to be </w:t>
            </w:r>
            <w:r w:rsidR="00E26B1A">
              <w:rPr>
                <w:rFonts w:ascii="Arial" w:hAnsi="Arial" w:cs="Arial"/>
                <w:b/>
              </w:rPr>
              <w:t xml:space="preserve">a </w:t>
            </w:r>
            <w:r>
              <w:rPr>
                <w:rFonts w:ascii="Arial" w:hAnsi="Arial" w:cs="Arial"/>
                <w:b/>
              </w:rPr>
              <w:t xml:space="preserve">single legal entity  </w:t>
            </w:r>
          </w:p>
        </w:tc>
      </w:tr>
      <w:tr w:rsidR="00440055" w:rsidTr="00440055">
        <w:tc>
          <w:tcPr>
            <w:tcW w:w="10206" w:type="dxa"/>
          </w:tcPr>
          <w:p w:rsidR="00440055" w:rsidRDefault="00440055" w:rsidP="00440055">
            <w:pPr>
              <w:rPr>
                <w:rFonts w:ascii="Arial" w:hAnsi="Arial" w:cs="Arial"/>
                <w:b/>
              </w:rPr>
            </w:pPr>
            <w:r>
              <w:rPr>
                <w:rFonts w:ascii="Arial" w:hAnsi="Arial" w:cs="Arial"/>
                <w:b/>
              </w:rPr>
              <w:t xml:space="preserve">Response (This box will expand as you type):  </w:t>
            </w:r>
          </w:p>
          <w:p w:rsidR="00440055" w:rsidRDefault="00440055" w:rsidP="00440055">
            <w:pPr>
              <w:spacing w:after="200" w:line="276" w:lineRule="auto"/>
            </w:pPr>
          </w:p>
          <w:p w:rsidR="009C12C6" w:rsidRDefault="009C12C6" w:rsidP="00440055">
            <w:pPr>
              <w:spacing w:after="200" w:line="276" w:lineRule="auto"/>
            </w:pPr>
          </w:p>
        </w:tc>
      </w:tr>
    </w:tbl>
    <w:p w:rsidR="00440055" w:rsidRDefault="00440055">
      <w:pPr>
        <w:spacing w:after="200" w:line="276" w:lineRule="auto"/>
      </w:pPr>
    </w:p>
    <w:tbl>
      <w:tblPr>
        <w:tblStyle w:val="TableGrid"/>
        <w:tblW w:w="10206" w:type="dxa"/>
        <w:tblInd w:w="-459" w:type="dxa"/>
        <w:tblLook w:val="04A0" w:firstRow="1" w:lastRow="0" w:firstColumn="1" w:lastColumn="0" w:noHBand="0" w:noVBand="1"/>
      </w:tblPr>
      <w:tblGrid>
        <w:gridCol w:w="10206"/>
      </w:tblGrid>
      <w:tr w:rsidR="00440055" w:rsidRPr="00440055" w:rsidTr="00440055">
        <w:tc>
          <w:tcPr>
            <w:tcW w:w="10206" w:type="dxa"/>
            <w:shd w:val="pct15" w:color="auto" w:fill="auto"/>
          </w:tcPr>
          <w:p w:rsidR="00440055" w:rsidRPr="00440055" w:rsidRDefault="00440055" w:rsidP="00440055">
            <w:pPr>
              <w:spacing w:after="200" w:line="276" w:lineRule="auto"/>
              <w:jc w:val="center"/>
              <w:rPr>
                <w:rFonts w:ascii="Arial" w:hAnsi="Arial" w:cs="Arial"/>
                <w:b/>
              </w:rPr>
            </w:pPr>
            <w:r>
              <w:rPr>
                <w:rFonts w:ascii="Arial" w:hAnsi="Arial" w:cs="Arial"/>
                <w:b/>
              </w:rPr>
              <w:t xml:space="preserve">General  </w:t>
            </w:r>
          </w:p>
        </w:tc>
      </w:tr>
      <w:tr w:rsidR="00440055" w:rsidTr="009C12C6">
        <w:tc>
          <w:tcPr>
            <w:tcW w:w="10206" w:type="dxa"/>
            <w:shd w:val="pct10" w:color="auto" w:fill="auto"/>
          </w:tcPr>
          <w:p w:rsidR="00440055" w:rsidRDefault="00440055" w:rsidP="00440055">
            <w:pPr>
              <w:spacing w:after="200" w:line="276" w:lineRule="auto"/>
            </w:pPr>
            <w:r>
              <w:rPr>
                <w:rFonts w:ascii="Arial" w:hAnsi="Arial" w:cs="Arial"/>
                <w:b/>
              </w:rPr>
              <w:t xml:space="preserve">Clause 22: Interpretation   </w:t>
            </w:r>
          </w:p>
        </w:tc>
      </w:tr>
      <w:tr w:rsidR="00440055" w:rsidTr="00440055">
        <w:tc>
          <w:tcPr>
            <w:tcW w:w="10206" w:type="dxa"/>
          </w:tcPr>
          <w:p w:rsidR="00440055" w:rsidRDefault="00440055" w:rsidP="00440055">
            <w:pPr>
              <w:rPr>
                <w:rFonts w:ascii="Arial" w:hAnsi="Arial" w:cs="Arial"/>
                <w:b/>
              </w:rPr>
            </w:pPr>
            <w:r>
              <w:rPr>
                <w:rFonts w:ascii="Arial" w:hAnsi="Arial" w:cs="Arial"/>
                <w:b/>
              </w:rPr>
              <w:t xml:space="preserve">Response (This box will expand as you type):  </w:t>
            </w:r>
          </w:p>
          <w:p w:rsidR="00440055" w:rsidRDefault="00440055" w:rsidP="00440055">
            <w:pPr>
              <w:spacing w:after="200" w:line="276" w:lineRule="auto"/>
            </w:pPr>
          </w:p>
          <w:p w:rsidR="009C12C6" w:rsidRDefault="009C12C6" w:rsidP="00440055">
            <w:pPr>
              <w:spacing w:after="200" w:line="276" w:lineRule="auto"/>
            </w:pPr>
          </w:p>
          <w:p w:rsidR="009C12C6" w:rsidRDefault="009C12C6" w:rsidP="00440055">
            <w:pPr>
              <w:spacing w:after="200" w:line="276" w:lineRule="auto"/>
            </w:pPr>
          </w:p>
        </w:tc>
      </w:tr>
      <w:tr w:rsidR="00440055" w:rsidTr="009C12C6">
        <w:tc>
          <w:tcPr>
            <w:tcW w:w="10206" w:type="dxa"/>
            <w:shd w:val="pct10" w:color="auto" w:fill="auto"/>
          </w:tcPr>
          <w:p w:rsidR="00440055" w:rsidRDefault="00440055" w:rsidP="00440055">
            <w:pPr>
              <w:spacing w:after="200" w:line="276" w:lineRule="auto"/>
            </w:pPr>
            <w:r>
              <w:rPr>
                <w:rFonts w:ascii="Arial" w:hAnsi="Arial" w:cs="Arial"/>
                <w:b/>
              </w:rPr>
              <w:t xml:space="preserve">Clause 23: Commencement    </w:t>
            </w:r>
          </w:p>
        </w:tc>
      </w:tr>
      <w:tr w:rsidR="00440055" w:rsidTr="00440055">
        <w:tc>
          <w:tcPr>
            <w:tcW w:w="10206" w:type="dxa"/>
          </w:tcPr>
          <w:p w:rsidR="00440055" w:rsidRDefault="00440055" w:rsidP="00440055">
            <w:pPr>
              <w:rPr>
                <w:rFonts w:ascii="Arial" w:hAnsi="Arial" w:cs="Arial"/>
                <w:b/>
              </w:rPr>
            </w:pPr>
            <w:r>
              <w:rPr>
                <w:rFonts w:ascii="Arial" w:hAnsi="Arial" w:cs="Arial"/>
                <w:b/>
              </w:rPr>
              <w:t xml:space="preserve">Response (This box will expand as you type):  </w:t>
            </w:r>
          </w:p>
          <w:p w:rsidR="00440055" w:rsidRDefault="00440055" w:rsidP="00440055">
            <w:pPr>
              <w:spacing w:after="200" w:line="276" w:lineRule="auto"/>
            </w:pPr>
          </w:p>
          <w:p w:rsidR="009C12C6" w:rsidRDefault="009C12C6" w:rsidP="00440055">
            <w:pPr>
              <w:spacing w:after="200" w:line="276" w:lineRule="auto"/>
            </w:pPr>
          </w:p>
        </w:tc>
      </w:tr>
      <w:tr w:rsidR="00440055" w:rsidTr="009C12C6">
        <w:tc>
          <w:tcPr>
            <w:tcW w:w="10206" w:type="dxa"/>
            <w:shd w:val="pct10" w:color="auto" w:fill="auto"/>
          </w:tcPr>
          <w:p w:rsidR="00440055" w:rsidRDefault="00440055" w:rsidP="00440055">
            <w:pPr>
              <w:spacing w:after="200" w:line="276" w:lineRule="auto"/>
            </w:pPr>
            <w:r>
              <w:rPr>
                <w:rFonts w:ascii="Arial" w:hAnsi="Arial" w:cs="Arial"/>
                <w:b/>
              </w:rPr>
              <w:t xml:space="preserve">Clause 24: Short Title     </w:t>
            </w:r>
          </w:p>
        </w:tc>
      </w:tr>
      <w:tr w:rsidR="00440055" w:rsidTr="00440055">
        <w:tc>
          <w:tcPr>
            <w:tcW w:w="10206" w:type="dxa"/>
          </w:tcPr>
          <w:p w:rsidR="00440055" w:rsidRDefault="00440055" w:rsidP="00440055">
            <w:pPr>
              <w:rPr>
                <w:rFonts w:ascii="Arial" w:hAnsi="Arial" w:cs="Arial"/>
                <w:b/>
              </w:rPr>
            </w:pPr>
            <w:r>
              <w:rPr>
                <w:rFonts w:ascii="Arial" w:hAnsi="Arial" w:cs="Arial"/>
                <w:b/>
              </w:rPr>
              <w:t xml:space="preserve">Response (This box will expand as you type):  </w:t>
            </w:r>
          </w:p>
          <w:p w:rsidR="00440055" w:rsidRDefault="00440055" w:rsidP="00440055">
            <w:pPr>
              <w:spacing w:after="200" w:line="276" w:lineRule="auto"/>
            </w:pPr>
          </w:p>
          <w:p w:rsidR="009C12C6" w:rsidRDefault="009C12C6" w:rsidP="00440055">
            <w:pPr>
              <w:spacing w:after="200" w:line="276" w:lineRule="auto"/>
            </w:pPr>
          </w:p>
        </w:tc>
      </w:tr>
    </w:tbl>
    <w:p w:rsidR="00D53AE5" w:rsidRDefault="00D53AE5">
      <w:pPr>
        <w:spacing w:after="200" w:line="276" w:lineRule="auto"/>
      </w:pPr>
    </w:p>
    <w:p w:rsidR="00D53AE5" w:rsidRDefault="00D53AE5">
      <w:pPr>
        <w:spacing w:after="200" w:line="276" w:lineRule="auto"/>
        <w:rPr>
          <w:rFonts w:ascii="Arial" w:hAnsi="Arial" w:cs="Arial"/>
          <w:b/>
          <w:sz w:val="28"/>
          <w:szCs w:val="28"/>
        </w:rPr>
      </w:pPr>
      <w:r w:rsidRPr="00D53AE5">
        <w:rPr>
          <w:rFonts w:ascii="Arial" w:hAnsi="Arial" w:cs="Arial"/>
          <w:b/>
          <w:sz w:val="28"/>
          <w:szCs w:val="28"/>
        </w:rPr>
        <w:t xml:space="preserve">Schedule: Content of Assembly and Executive Reform Motion </w:t>
      </w:r>
    </w:p>
    <w:p w:rsidR="00744A2F" w:rsidRPr="00744A2F" w:rsidRDefault="00744A2F" w:rsidP="00744A2F">
      <w:pPr>
        <w:spacing w:after="200" w:line="276" w:lineRule="auto"/>
        <w:rPr>
          <w:rFonts w:ascii="Arial" w:hAnsi="Arial" w:cs="Arial"/>
        </w:rPr>
      </w:pPr>
      <w:r w:rsidRPr="00744A2F">
        <w:rPr>
          <w:rFonts w:ascii="Arial" w:hAnsi="Arial" w:cs="Arial"/>
        </w:rPr>
        <w:t xml:space="preserve">The Schedule sets out the kind of </w:t>
      </w:r>
      <w:r w:rsidRPr="00744A2F">
        <w:rPr>
          <w:rFonts w:ascii="Arial" w:hAnsi="Arial" w:cs="Arial"/>
          <w:u w:val="single"/>
        </w:rPr>
        <w:t>requests that could be included in an</w:t>
      </w:r>
      <w:proofErr w:type="gramStart"/>
      <w:r w:rsidRPr="00744A2F">
        <w:rPr>
          <w:rFonts w:ascii="Arial" w:hAnsi="Arial" w:cs="Arial"/>
          <w:u w:val="single"/>
        </w:rPr>
        <w:t>  Assembly</w:t>
      </w:r>
      <w:proofErr w:type="gramEnd"/>
      <w:r w:rsidRPr="00744A2F">
        <w:rPr>
          <w:rFonts w:ascii="Arial" w:hAnsi="Arial" w:cs="Arial"/>
          <w:u w:val="single"/>
        </w:rPr>
        <w:t xml:space="preserve"> and Executive Reform Motion</w:t>
      </w:r>
      <w:r w:rsidRPr="00744A2F">
        <w:rPr>
          <w:rFonts w:ascii="Arial" w:hAnsi="Arial" w:cs="Arial"/>
        </w:rPr>
        <w:t xml:space="preserve">.  These are matters which the Assembly could or might request the Westminster Parliament to legislate on in the event of Assembly agreement. </w:t>
      </w:r>
    </w:p>
    <w:tbl>
      <w:tblPr>
        <w:tblStyle w:val="TableGrid"/>
        <w:tblW w:w="10206" w:type="dxa"/>
        <w:tblInd w:w="-459" w:type="dxa"/>
        <w:tblLook w:val="04A0" w:firstRow="1" w:lastRow="0" w:firstColumn="1" w:lastColumn="0" w:noHBand="0" w:noVBand="1"/>
      </w:tblPr>
      <w:tblGrid>
        <w:gridCol w:w="10206"/>
      </w:tblGrid>
      <w:tr w:rsidR="0065176D" w:rsidTr="00D53AE5">
        <w:tc>
          <w:tcPr>
            <w:tcW w:w="10206" w:type="dxa"/>
            <w:shd w:val="pct10" w:color="auto" w:fill="auto"/>
          </w:tcPr>
          <w:p w:rsidR="0065176D" w:rsidRDefault="0065176D">
            <w:pPr>
              <w:spacing w:after="200" w:line="276" w:lineRule="auto"/>
            </w:pPr>
            <w:r w:rsidRPr="00440055">
              <w:rPr>
                <w:rFonts w:ascii="Arial" w:hAnsi="Arial" w:cs="Arial"/>
                <w:b/>
              </w:rPr>
              <w:t>Scope of Assembly and Executive Reform Motion</w:t>
            </w:r>
          </w:p>
        </w:tc>
      </w:tr>
      <w:tr w:rsidR="0065176D" w:rsidTr="00D53AE5">
        <w:tc>
          <w:tcPr>
            <w:tcW w:w="10206" w:type="dxa"/>
          </w:tcPr>
          <w:p w:rsidR="0065176D" w:rsidRDefault="0065176D" w:rsidP="0065176D">
            <w:pPr>
              <w:rPr>
                <w:rFonts w:ascii="Arial" w:hAnsi="Arial" w:cs="Arial"/>
                <w:b/>
              </w:rPr>
            </w:pPr>
            <w:r>
              <w:rPr>
                <w:rFonts w:ascii="Arial" w:hAnsi="Arial" w:cs="Arial"/>
                <w:b/>
              </w:rPr>
              <w:t xml:space="preserve">Response (This box will expand as you type):  </w:t>
            </w:r>
          </w:p>
          <w:p w:rsidR="0065176D" w:rsidRDefault="0065176D">
            <w:pPr>
              <w:spacing w:after="200" w:line="276" w:lineRule="auto"/>
            </w:pPr>
          </w:p>
          <w:p w:rsidR="00D53AE5" w:rsidRDefault="00D53AE5">
            <w:pPr>
              <w:spacing w:after="200" w:line="276" w:lineRule="auto"/>
            </w:pPr>
          </w:p>
        </w:tc>
      </w:tr>
      <w:tr w:rsidR="0065176D" w:rsidTr="00D53AE5">
        <w:tc>
          <w:tcPr>
            <w:tcW w:w="10206" w:type="dxa"/>
            <w:shd w:val="pct10" w:color="auto" w:fill="auto"/>
          </w:tcPr>
          <w:p w:rsidR="0065176D" w:rsidRDefault="0065176D">
            <w:pPr>
              <w:spacing w:after="200" w:line="276" w:lineRule="auto"/>
            </w:pPr>
            <w:r>
              <w:rPr>
                <w:rFonts w:ascii="Arial" w:hAnsi="Arial" w:cs="Arial"/>
                <w:b/>
              </w:rPr>
              <w:t>Replacement of cross community support with weighted majority voting</w:t>
            </w:r>
          </w:p>
        </w:tc>
      </w:tr>
      <w:tr w:rsidR="0065176D" w:rsidTr="00D53AE5">
        <w:tc>
          <w:tcPr>
            <w:tcW w:w="10206" w:type="dxa"/>
            <w:tcBorders>
              <w:bottom w:val="single" w:sz="4" w:space="0" w:color="auto"/>
            </w:tcBorders>
          </w:tcPr>
          <w:p w:rsidR="0065176D" w:rsidRDefault="0065176D" w:rsidP="0065176D">
            <w:pPr>
              <w:rPr>
                <w:rFonts w:ascii="Arial" w:hAnsi="Arial" w:cs="Arial"/>
                <w:b/>
              </w:rPr>
            </w:pPr>
            <w:r>
              <w:rPr>
                <w:rFonts w:ascii="Arial" w:hAnsi="Arial" w:cs="Arial"/>
                <w:b/>
              </w:rPr>
              <w:t xml:space="preserve">Response (This box will expand as you type):  </w:t>
            </w:r>
          </w:p>
          <w:p w:rsidR="0065176D" w:rsidRDefault="0065176D">
            <w:pPr>
              <w:spacing w:after="200" w:line="276" w:lineRule="auto"/>
            </w:pPr>
          </w:p>
          <w:p w:rsidR="00D53AE5" w:rsidRDefault="00D53AE5">
            <w:pPr>
              <w:spacing w:after="200" w:line="276" w:lineRule="auto"/>
            </w:pPr>
          </w:p>
        </w:tc>
      </w:tr>
      <w:tr w:rsidR="0065176D" w:rsidTr="00D53AE5">
        <w:tc>
          <w:tcPr>
            <w:tcW w:w="10206" w:type="dxa"/>
            <w:shd w:val="pct10" w:color="auto" w:fill="auto"/>
          </w:tcPr>
          <w:p w:rsidR="0065176D" w:rsidRDefault="0065176D">
            <w:pPr>
              <w:spacing w:after="200" w:line="276" w:lineRule="auto"/>
            </w:pPr>
            <w:r>
              <w:rPr>
                <w:rFonts w:ascii="Arial" w:hAnsi="Arial" w:cs="Arial"/>
                <w:b/>
              </w:rPr>
              <w:t>Speaker</w:t>
            </w:r>
          </w:p>
        </w:tc>
      </w:tr>
      <w:tr w:rsidR="0065176D" w:rsidTr="00D53AE5">
        <w:tc>
          <w:tcPr>
            <w:tcW w:w="10206" w:type="dxa"/>
          </w:tcPr>
          <w:p w:rsidR="0065176D" w:rsidRDefault="0065176D" w:rsidP="0065176D">
            <w:pPr>
              <w:rPr>
                <w:rFonts w:ascii="Arial" w:hAnsi="Arial" w:cs="Arial"/>
                <w:b/>
              </w:rPr>
            </w:pPr>
            <w:r>
              <w:rPr>
                <w:rFonts w:ascii="Arial" w:hAnsi="Arial" w:cs="Arial"/>
                <w:b/>
              </w:rPr>
              <w:lastRenderedPageBreak/>
              <w:t xml:space="preserve">Response (This box will expand as you type):  </w:t>
            </w:r>
          </w:p>
          <w:p w:rsidR="0065176D" w:rsidRDefault="0065176D">
            <w:pPr>
              <w:spacing w:after="200" w:line="276" w:lineRule="auto"/>
            </w:pPr>
          </w:p>
          <w:p w:rsidR="00D53AE5" w:rsidRDefault="00D53AE5">
            <w:pPr>
              <w:spacing w:after="200" w:line="276" w:lineRule="auto"/>
            </w:pPr>
          </w:p>
        </w:tc>
      </w:tr>
      <w:tr w:rsidR="0065176D" w:rsidTr="00D53AE5">
        <w:tc>
          <w:tcPr>
            <w:tcW w:w="10206" w:type="dxa"/>
            <w:shd w:val="pct10" w:color="auto" w:fill="auto"/>
          </w:tcPr>
          <w:p w:rsidR="0065176D" w:rsidRDefault="0065176D">
            <w:pPr>
              <w:spacing w:after="200" w:line="276" w:lineRule="auto"/>
            </w:pPr>
            <w:r>
              <w:rPr>
                <w:rFonts w:ascii="Arial" w:hAnsi="Arial" w:cs="Arial"/>
                <w:b/>
              </w:rPr>
              <w:t>First Minister and deputy First Ministers renamed as First Ministers</w:t>
            </w:r>
          </w:p>
        </w:tc>
      </w:tr>
      <w:tr w:rsidR="0065176D" w:rsidTr="00D53AE5">
        <w:tc>
          <w:tcPr>
            <w:tcW w:w="10206" w:type="dxa"/>
          </w:tcPr>
          <w:p w:rsidR="0065176D" w:rsidRDefault="0065176D" w:rsidP="0065176D">
            <w:pPr>
              <w:rPr>
                <w:rFonts w:ascii="Arial" w:hAnsi="Arial" w:cs="Arial"/>
                <w:b/>
              </w:rPr>
            </w:pPr>
            <w:r>
              <w:rPr>
                <w:rFonts w:ascii="Arial" w:hAnsi="Arial" w:cs="Arial"/>
                <w:b/>
              </w:rPr>
              <w:t xml:space="preserve">Response (This box will expand as you type):  </w:t>
            </w:r>
          </w:p>
          <w:p w:rsidR="0065176D" w:rsidRDefault="0065176D">
            <w:pPr>
              <w:spacing w:after="200" w:line="276" w:lineRule="auto"/>
              <w:rPr>
                <w:rFonts w:ascii="Arial" w:hAnsi="Arial" w:cs="Arial"/>
              </w:rPr>
            </w:pPr>
          </w:p>
          <w:p w:rsidR="00D53AE5" w:rsidRPr="0065176D" w:rsidRDefault="00D53AE5">
            <w:pPr>
              <w:spacing w:after="200" w:line="276" w:lineRule="auto"/>
              <w:rPr>
                <w:rFonts w:ascii="Arial" w:hAnsi="Arial" w:cs="Arial"/>
              </w:rPr>
            </w:pPr>
          </w:p>
        </w:tc>
      </w:tr>
      <w:tr w:rsidR="0065176D" w:rsidTr="00D53AE5">
        <w:tc>
          <w:tcPr>
            <w:tcW w:w="10206" w:type="dxa"/>
            <w:shd w:val="pct10" w:color="auto" w:fill="auto"/>
          </w:tcPr>
          <w:p w:rsidR="00D53AE5" w:rsidRPr="00D53AE5" w:rsidRDefault="00D53AE5">
            <w:pPr>
              <w:spacing w:after="200" w:line="276" w:lineRule="auto"/>
              <w:rPr>
                <w:rFonts w:ascii="Arial" w:hAnsi="Arial" w:cs="Arial"/>
                <w:b/>
              </w:rPr>
            </w:pPr>
            <w:r w:rsidRPr="00D53AE5">
              <w:rPr>
                <w:rFonts w:ascii="Arial" w:hAnsi="Arial" w:cs="Arial"/>
                <w:b/>
              </w:rPr>
              <w:t>Collective Ministerial responsibility</w:t>
            </w:r>
          </w:p>
        </w:tc>
      </w:tr>
      <w:tr w:rsidR="0065176D" w:rsidTr="00D53AE5">
        <w:tc>
          <w:tcPr>
            <w:tcW w:w="10206" w:type="dxa"/>
          </w:tcPr>
          <w:p w:rsidR="00D53AE5" w:rsidRDefault="00D53AE5" w:rsidP="00D53AE5">
            <w:pPr>
              <w:rPr>
                <w:rFonts w:ascii="Arial" w:hAnsi="Arial" w:cs="Arial"/>
                <w:b/>
              </w:rPr>
            </w:pPr>
            <w:r>
              <w:rPr>
                <w:rFonts w:ascii="Arial" w:hAnsi="Arial" w:cs="Arial"/>
                <w:b/>
              </w:rPr>
              <w:t xml:space="preserve">Response (This box will expand as you type):  </w:t>
            </w:r>
          </w:p>
          <w:p w:rsidR="00D53AE5" w:rsidRDefault="00D53AE5">
            <w:pPr>
              <w:spacing w:after="200" w:line="276" w:lineRule="auto"/>
              <w:rPr>
                <w:rFonts w:ascii="Arial" w:hAnsi="Arial" w:cs="Arial"/>
                <w:b/>
              </w:rPr>
            </w:pPr>
          </w:p>
          <w:p w:rsidR="00E26B1A" w:rsidRPr="00D53AE5" w:rsidRDefault="00E26B1A">
            <w:pPr>
              <w:spacing w:after="200" w:line="276" w:lineRule="auto"/>
              <w:rPr>
                <w:rFonts w:ascii="Arial" w:hAnsi="Arial" w:cs="Arial"/>
                <w:b/>
              </w:rPr>
            </w:pPr>
          </w:p>
        </w:tc>
      </w:tr>
      <w:tr w:rsidR="00E26B1A" w:rsidTr="008001F8">
        <w:tc>
          <w:tcPr>
            <w:tcW w:w="10206" w:type="dxa"/>
            <w:shd w:val="pct10" w:color="auto" w:fill="auto"/>
          </w:tcPr>
          <w:p w:rsidR="00E26B1A" w:rsidRPr="00D53AE5" w:rsidRDefault="00E26B1A" w:rsidP="008001F8">
            <w:pPr>
              <w:spacing w:after="200" w:line="276" w:lineRule="auto"/>
              <w:rPr>
                <w:rFonts w:ascii="Arial" w:hAnsi="Arial" w:cs="Arial"/>
                <w:b/>
              </w:rPr>
            </w:pPr>
            <w:r>
              <w:rPr>
                <w:rFonts w:ascii="Arial" w:hAnsi="Arial" w:cs="Arial"/>
                <w:b/>
              </w:rPr>
              <w:t>Threshold for nomination of Minister</w:t>
            </w:r>
          </w:p>
        </w:tc>
      </w:tr>
      <w:tr w:rsidR="00E26B1A" w:rsidTr="008001F8">
        <w:tc>
          <w:tcPr>
            <w:tcW w:w="10206" w:type="dxa"/>
          </w:tcPr>
          <w:p w:rsidR="00E26B1A" w:rsidRDefault="00E26B1A" w:rsidP="008001F8">
            <w:pPr>
              <w:rPr>
                <w:rFonts w:ascii="Arial" w:hAnsi="Arial" w:cs="Arial"/>
                <w:b/>
              </w:rPr>
            </w:pPr>
            <w:r>
              <w:rPr>
                <w:rFonts w:ascii="Arial" w:hAnsi="Arial" w:cs="Arial"/>
                <w:b/>
              </w:rPr>
              <w:t xml:space="preserve">Response (This box will expand as you type):  </w:t>
            </w:r>
          </w:p>
          <w:p w:rsidR="00E26B1A" w:rsidRDefault="00E26B1A" w:rsidP="008001F8">
            <w:pPr>
              <w:spacing w:after="200" w:line="276" w:lineRule="auto"/>
              <w:rPr>
                <w:rFonts w:ascii="Arial" w:hAnsi="Arial" w:cs="Arial"/>
                <w:b/>
              </w:rPr>
            </w:pPr>
          </w:p>
          <w:p w:rsidR="00E26B1A" w:rsidRPr="00D53AE5" w:rsidRDefault="00E26B1A" w:rsidP="008001F8">
            <w:pPr>
              <w:spacing w:after="200" w:line="276" w:lineRule="auto"/>
              <w:rPr>
                <w:rFonts w:ascii="Arial" w:hAnsi="Arial" w:cs="Arial"/>
                <w:b/>
              </w:rPr>
            </w:pPr>
          </w:p>
        </w:tc>
      </w:tr>
      <w:tr w:rsidR="0065176D" w:rsidTr="00D53AE5">
        <w:tc>
          <w:tcPr>
            <w:tcW w:w="10206" w:type="dxa"/>
            <w:shd w:val="pct10" w:color="auto" w:fill="auto"/>
          </w:tcPr>
          <w:p w:rsidR="0065176D" w:rsidRPr="00D53AE5" w:rsidRDefault="00D53AE5">
            <w:pPr>
              <w:spacing w:after="200" w:line="276" w:lineRule="auto"/>
              <w:rPr>
                <w:rFonts w:ascii="Arial" w:hAnsi="Arial" w:cs="Arial"/>
                <w:b/>
              </w:rPr>
            </w:pPr>
            <w:r w:rsidRPr="00D53AE5">
              <w:rPr>
                <w:rFonts w:ascii="Arial" w:hAnsi="Arial" w:cs="Arial"/>
                <w:b/>
              </w:rPr>
              <w:t>Nomination of Ministers and Chairpersons of Statutory Committees</w:t>
            </w:r>
          </w:p>
        </w:tc>
      </w:tr>
      <w:tr w:rsidR="0065176D" w:rsidTr="00D53AE5">
        <w:tc>
          <w:tcPr>
            <w:tcW w:w="10206" w:type="dxa"/>
          </w:tcPr>
          <w:p w:rsidR="00D53AE5" w:rsidRDefault="00D53AE5" w:rsidP="00D53AE5">
            <w:pPr>
              <w:rPr>
                <w:rFonts w:ascii="Arial" w:hAnsi="Arial" w:cs="Arial"/>
                <w:b/>
              </w:rPr>
            </w:pPr>
            <w:r>
              <w:rPr>
                <w:rFonts w:ascii="Arial" w:hAnsi="Arial" w:cs="Arial"/>
                <w:b/>
              </w:rPr>
              <w:t xml:space="preserve">Response (This box will expand as you type):  </w:t>
            </w:r>
          </w:p>
          <w:p w:rsidR="0065176D" w:rsidRDefault="0065176D">
            <w:pPr>
              <w:spacing w:after="200" w:line="276" w:lineRule="auto"/>
              <w:rPr>
                <w:rFonts w:ascii="Arial" w:hAnsi="Arial" w:cs="Arial"/>
                <w:b/>
              </w:rPr>
            </w:pPr>
          </w:p>
          <w:p w:rsidR="00D53AE5" w:rsidRPr="00D53AE5" w:rsidRDefault="00D53AE5">
            <w:pPr>
              <w:spacing w:after="200" w:line="276" w:lineRule="auto"/>
              <w:rPr>
                <w:rFonts w:ascii="Arial" w:hAnsi="Arial" w:cs="Arial"/>
                <w:b/>
              </w:rPr>
            </w:pPr>
          </w:p>
        </w:tc>
      </w:tr>
      <w:tr w:rsidR="0065176D" w:rsidTr="00D53AE5">
        <w:tc>
          <w:tcPr>
            <w:tcW w:w="10206" w:type="dxa"/>
            <w:shd w:val="pct10" w:color="auto" w:fill="auto"/>
          </w:tcPr>
          <w:p w:rsidR="0065176D" w:rsidRPr="00D53AE5" w:rsidRDefault="00D53AE5">
            <w:pPr>
              <w:spacing w:after="200" w:line="276" w:lineRule="auto"/>
              <w:rPr>
                <w:rFonts w:ascii="Arial" w:hAnsi="Arial" w:cs="Arial"/>
                <w:b/>
              </w:rPr>
            </w:pPr>
            <w:r w:rsidRPr="00D53AE5">
              <w:rPr>
                <w:rFonts w:ascii="Arial" w:hAnsi="Arial" w:cs="Arial"/>
                <w:b/>
              </w:rPr>
              <w:t>Leaving the Opposition and re-joining the Executive</w:t>
            </w:r>
          </w:p>
        </w:tc>
      </w:tr>
      <w:tr w:rsidR="0065176D" w:rsidTr="00D53AE5">
        <w:tc>
          <w:tcPr>
            <w:tcW w:w="10206" w:type="dxa"/>
          </w:tcPr>
          <w:p w:rsidR="00D53AE5" w:rsidRDefault="00D53AE5" w:rsidP="00D53AE5">
            <w:pPr>
              <w:rPr>
                <w:rFonts w:ascii="Arial" w:hAnsi="Arial" w:cs="Arial"/>
                <w:b/>
              </w:rPr>
            </w:pPr>
            <w:r>
              <w:rPr>
                <w:rFonts w:ascii="Arial" w:hAnsi="Arial" w:cs="Arial"/>
                <w:b/>
              </w:rPr>
              <w:t xml:space="preserve">Response (This box will expand as you type):  </w:t>
            </w:r>
          </w:p>
          <w:p w:rsidR="0065176D" w:rsidRDefault="0065176D">
            <w:pPr>
              <w:spacing w:after="200" w:line="276" w:lineRule="auto"/>
              <w:rPr>
                <w:rFonts w:ascii="Arial" w:hAnsi="Arial" w:cs="Arial"/>
                <w:b/>
              </w:rPr>
            </w:pPr>
          </w:p>
          <w:p w:rsidR="00D53AE5" w:rsidRPr="00D53AE5" w:rsidRDefault="00D53AE5">
            <w:pPr>
              <w:spacing w:after="200" w:line="276" w:lineRule="auto"/>
              <w:rPr>
                <w:rFonts w:ascii="Arial" w:hAnsi="Arial" w:cs="Arial"/>
                <w:b/>
              </w:rPr>
            </w:pPr>
          </w:p>
        </w:tc>
      </w:tr>
      <w:tr w:rsidR="0065176D" w:rsidTr="00D53AE5">
        <w:tc>
          <w:tcPr>
            <w:tcW w:w="10206" w:type="dxa"/>
            <w:shd w:val="pct10" w:color="auto" w:fill="auto"/>
          </w:tcPr>
          <w:p w:rsidR="0065176D" w:rsidRPr="00D53AE5" w:rsidRDefault="00D53AE5">
            <w:pPr>
              <w:spacing w:after="200" w:line="276" w:lineRule="auto"/>
              <w:rPr>
                <w:rFonts w:ascii="Arial" w:hAnsi="Arial" w:cs="Arial"/>
                <w:b/>
              </w:rPr>
            </w:pPr>
            <w:r w:rsidRPr="00D53AE5">
              <w:rPr>
                <w:rFonts w:ascii="Arial" w:hAnsi="Arial" w:cs="Arial"/>
                <w:b/>
              </w:rPr>
              <w:t>Programme for government</w:t>
            </w:r>
          </w:p>
        </w:tc>
      </w:tr>
      <w:tr w:rsidR="0065176D" w:rsidTr="00D53AE5">
        <w:tc>
          <w:tcPr>
            <w:tcW w:w="10206" w:type="dxa"/>
          </w:tcPr>
          <w:p w:rsidR="00D53AE5" w:rsidRDefault="00D53AE5" w:rsidP="00D53AE5">
            <w:pPr>
              <w:rPr>
                <w:rFonts w:ascii="Arial" w:hAnsi="Arial" w:cs="Arial"/>
                <w:b/>
              </w:rPr>
            </w:pPr>
            <w:r>
              <w:rPr>
                <w:rFonts w:ascii="Arial" w:hAnsi="Arial" w:cs="Arial"/>
                <w:b/>
              </w:rPr>
              <w:t xml:space="preserve">Response (This box will expand as you type):  </w:t>
            </w:r>
          </w:p>
          <w:p w:rsidR="00D53AE5" w:rsidRDefault="00D53AE5" w:rsidP="00D53AE5">
            <w:pPr>
              <w:rPr>
                <w:rFonts w:ascii="Arial" w:hAnsi="Arial" w:cs="Arial"/>
                <w:b/>
              </w:rPr>
            </w:pPr>
          </w:p>
          <w:p w:rsidR="0065176D" w:rsidRPr="00D53AE5" w:rsidRDefault="0065176D">
            <w:pPr>
              <w:spacing w:after="200" w:line="276" w:lineRule="auto"/>
              <w:rPr>
                <w:rFonts w:ascii="Arial" w:hAnsi="Arial" w:cs="Arial"/>
                <w:b/>
              </w:rPr>
            </w:pPr>
          </w:p>
        </w:tc>
      </w:tr>
      <w:tr w:rsidR="0065176D" w:rsidTr="00D53AE5">
        <w:tc>
          <w:tcPr>
            <w:tcW w:w="10206" w:type="dxa"/>
            <w:shd w:val="pct10" w:color="auto" w:fill="auto"/>
          </w:tcPr>
          <w:p w:rsidR="0065176D" w:rsidRPr="00D53AE5" w:rsidRDefault="00D53AE5">
            <w:pPr>
              <w:spacing w:after="200" w:line="276" w:lineRule="auto"/>
              <w:rPr>
                <w:rFonts w:ascii="Arial" w:hAnsi="Arial" w:cs="Arial"/>
                <w:b/>
              </w:rPr>
            </w:pPr>
            <w:r w:rsidRPr="00D53AE5">
              <w:rPr>
                <w:rFonts w:ascii="Arial" w:hAnsi="Arial" w:cs="Arial"/>
                <w:b/>
              </w:rPr>
              <w:t>Function of statutory committees</w:t>
            </w:r>
          </w:p>
        </w:tc>
      </w:tr>
      <w:tr w:rsidR="0065176D" w:rsidTr="00D53AE5">
        <w:tc>
          <w:tcPr>
            <w:tcW w:w="10206" w:type="dxa"/>
          </w:tcPr>
          <w:p w:rsidR="00D53AE5" w:rsidRDefault="00D53AE5" w:rsidP="00D53AE5">
            <w:pPr>
              <w:rPr>
                <w:rFonts w:ascii="Arial" w:hAnsi="Arial" w:cs="Arial"/>
                <w:b/>
              </w:rPr>
            </w:pPr>
            <w:r>
              <w:rPr>
                <w:rFonts w:ascii="Arial" w:hAnsi="Arial" w:cs="Arial"/>
                <w:b/>
              </w:rPr>
              <w:t xml:space="preserve">Response (This box will expand as you type):  </w:t>
            </w:r>
          </w:p>
          <w:p w:rsidR="0065176D" w:rsidRDefault="0065176D">
            <w:pPr>
              <w:spacing w:after="200" w:line="276" w:lineRule="auto"/>
              <w:rPr>
                <w:rFonts w:ascii="Arial" w:hAnsi="Arial" w:cs="Arial"/>
                <w:b/>
              </w:rPr>
            </w:pPr>
          </w:p>
          <w:p w:rsidR="00D53AE5" w:rsidRPr="00D53AE5" w:rsidRDefault="00D53AE5">
            <w:pPr>
              <w:spacing w:after="200" w:line="276" w:lineRule="auto"/>
              <w:rPr>
                <w:rFonts w:ascii="Arial" w:hAnsi="Arial" w:cs="Arial"/>
                <w:b/>
              </w:rPr>
            </w:pPr>
          </w:p>
        </w:tc>
      </w:tr>
      <w:tr w:rsidR="0065176D" w:rsidTr="00D53AE5">
        <w:tc>
          <w:tcPr>
            <w:tcW w:w="10206" w:type="dxa"/>
            <w:shd w:val="pct10" w:color="auto" w:fill="auto"/>
          </w:tcPr>
          <w:p w:rsidR="0065176D" w:rsidRPr="00D53AE5" w:rsidRDefault="00D53AE5">
            <w:pPr>
              <w:spacing w:after="200" w:line="276" w:lineRule="auto"/>
              <w:rPr>
                <w:rFonts w:ascii="Arial" w:hAnsi="Arial" w:cs="Arial"/>
                <w:b/>
              </w:rPr>
            </w:pPr>
            <w:r w:rsidRPr="00D53AE5">
              <w:rPr>
                <w:rFonts w:ascii="Arial" w:hAnsi="Arial" w:cs="Arial"/>
                <w:b/>
              </w:rPr>
              <w:lastRenderedPageBreak/>
              <w:t xml:space="preserve">Simple majority for budget approval </w:t>
            </w:r>
          </w:p>
        </w:tc>
      </w:tr>
      <w:tr w:rsidR="0065176D" w:rsidTr="00D53AE5">
        <w:tc>
          <w:tcPr>
            <w:tcW w:w="10206" w:type="dxa"/>
          </w:tcPr>
          <w:p w:rsidR="00D53AE5" w:rsidRDefault="00D53AE5" w:rsidP="00D53AE5">
            <w:pPr>
              <w:rPr>
                <w:rFonts w:ascii="Arial" w:hAnsi="Arial" w:cs="Arial"/>
                <w:b/>
              </w:rPr>
            </w:pPr>
            <w:r>
              <w:rPr>
                <w:rFonts w:ascii="Arial" w:hAnsi="Arial" w:cs="Arial"/>
                <w:b/>
              </w:rPr>
              <w:t xml:space="preserve">Response (This box will expand as you type):  </w:t>
            </w:r>
          </w:p>
          <w:p w:rsidR="0065176D" w:rsidRDefault="0065176D">
            <w:pPr>
              <w:spacing w:after="200" w:line="276" w:lineRule="auto"/>
              <w:rPr>
                <w:rFonts w:ascii="Arial" w:hAnsi="Arial" w:cs="Arial"/>
              </w:rPr>
            </w:pPr>
          </w:p>
          <w:p w:rsidR="00D53AE5" w:rsidRPr="0065176D" w:rsidRDefault="00D53AE5">
            <w:pPr>
              <w:spacing w:after="200" w:line="276" w:lineRule="auto"/>
              <w:rPr>
                <w:rFonts w:ascii="Arial" w:hAnsi="Arial" w:cs="Arial"/>
              </w:rPr>
            </w:pPr>
          </w:p>
        </w:tc>
      </w:tr>
    </w:tbl>
    <w:p w:rsidR="00440055" w:rsidRDefault="00440055">
      <w:pPr>
        <w:spacing w:after="200" w:line="276" w:lineRule="auto"/>
      </w:pPr>
    </w:p>
    <w:p w:rsidR="00440055" w:rsidRDefault="00440055">
      <w:pPr>
        <w:spacing w:after="200" w:line="276" w:lineRule="auto"/>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360E8" w:rsidRPr="00725D5D" w:rsidTr="009C12C6">
        <w:tc>
          <w:tcPr>
            <w:tcW w:w="10206" w:type="dxa"/>
            <w:shd w:val="clear" w:color="auto" w:fill="C6D9F1"/>
          </w:tcPr>
          <w:p w:rsidR="00A360E8" w:rsidRPr="00725D5D" w:rsidRDefault="00A360E8" w:rsidP="00440055">
            <w:pPr>
              <w:rPr>
                <w:rFonts w:ascii="Arial" w:hAnsi="Arial" w:cs="Arial"/>
                <w:b/>
              </w:rPr>
            </w:pPr>
          </w:p>
          <w:p w:rsidR="00A360E8" w:rsidRDefault="00A360E8" w:rsidP="00440055">
            <w:pPr>
              <w:jc w:val="center"/>
              <w:rPr>
                <w:rFonts w:ascii="Arial" w:hAnsi="Arial" w:cs="Arial"/>
                <w:b/>
              </w:rPr>
            </w:pPr>
            <w:r w:rsidRPr="00725D5D">
              <w:rPr>
                <w:rFonts w:ascii="Arial" w:hAnsi="Arial" w:cs="Arial"/>
                <w:b/>
              </w:rPr>
              <w:t xml:space="preserve">Section </w:t>
            </w:r>
            <w:r>
              <w:rPr>
                <w:rFonts w:ascii="Arial" w:hAnsi="Arial" w:cs="Arial"/>
                <w:b/>
              </w:rPr>
              <w:t>6</w:t>
            </w:r>
            <w:r w:rsidRPr="00725D5D">
              <w:rPr>
                <w:rFonts w:ascii="Arial" w:hAnsi="Arial" w:cs="Arial"/>
                <w:b/>
              </w:rPr>
              <w:t xml:space="preserve"> </w:t>
            </w:r>
          </w:p>
          <w:p w:rsidR="00A360E8" w:rsidRDefault="00A360E8" w:rsidP="00440055">
            <w:pPr>
              <w:jc w:val="center"/>
              <w:rPr>
                <w:rFonts w:ascii="Arial" w:hAnsi="Arial" w:cs="Arial"/>
                <w:b/>
              </w:rPr>
            </w:pPr>
          </w:p>
          <w:p w:rsidR="00A360E8" w:rsidRPr="00A43B50" w:rsidRDefault="00A360E8" w:rsidP="00440055">
            <w:pPr>
              <w:jc w:val="center"/>
              <w:rPr>
                <w:rFonts w:ascii="Arial" w:hAnsi="Arial" w:cs="Arial"/>
                <w:b/>
                <w:u w:val="single"/>
              </w:rPr>
            </w:pPr>
            <w:r w:rsidRPr="00A43B50">
              <w:rPr>
                <w:rFonts w:ascii="Arial" w:hAnsi="Arial" w:cs="Arial"/>
                <w:b/>
                <w:u w:val="single"/>
              </w:rPr>
              <w:t>Contact Details</w:t>
            </w:r>
          </w:p>
          <w:p w:rsidR="00A360E8" w:rsidRPr="00725D5D" w:rsidRDefault="00A360E8" w:rsidP="00440055">
            <w:pPr>
              <w:jc w:val="center"/>
              <w:rPr>
                <w:rFonts w:ascii="Arial" w:hAnsi="Arial" w:cs="Arial"/>
                <w:b/>
              </w:rPr>
            </w:pPr>
          </w:p>
        </w:tc>
      </w:tr>
      <w:tr w:rsidR="00A360E8" w:rsidRPr="00725D5D" w:rsidTr="009C12C6">
        <w:trPr>
          <w:trHeight w:val="2525"/>
        </w:trPr>
        <w:tc>
          <w:tcPr>
            <w:tcW w:w="10206" w:type="dxa"/>
            <w:shd w:val="clear" w:color="auto" w:fill="auto"/>
          </w:tcPr>
          <w:p w:rsidR="00A360E8" w:rsidRPr="00725D5D" w:rsidRDefault="00A360E8" w:rsidP="00440055">
            <w:pPr>
              <w:rPr>
                <w:rFonts w:ascii="Arial" w:hAnsi="Arial" w:cs="Arial"/>
                <w:b/>
              </w:rPr>
            </w:pPr>
            <w:r w:rsidRPr="00725D5D">
              <w:rPr>
                <w:rFonts w:ascii="Arial" w:hAnsi="Arial" w:cs="Arial"/>
                <w:b/>
              </w:rPr>
              <w:t>All responses should be sent by email please  to:</w:t>
            </w:r>
          </w:p>
          <w:p w:rsidR="00A360E8" w:rsidRPr="00725D5D" w:rsidRDefault="00A360E8" w:rsidP="00440055">
            <w:pPr>
              <w:ind w:left="720"/>
              <w:rPr>
                <w:rFonts w:ascii="Arial" w:hAnsi="Arial" w:cs="Arial"/>
              </w:rPr>
            </w:pPr>
            <w:r w:rsidRPr="00725D5D">
              <w:rPr>
                <w:rFonts w:ascii="Arial" w:hAnsi="Arial" w:cs="Arial"/>
              </w:rPr>
              <w:tab/>
            </w:r>
            <w:r w:rsidRPr="00725D5D">
              <w:rPr>
                <w:rFonts w:ascii="Arial" w:hAnsi="Arial" w:cs="Arial"/>
              </w:rPr>
              <w:tab/>
            </w:r>
            <w:r w:rsidRPr="00725D5D">
              <w:rPr>
                <w:rFonts w:ascii="Arial" w:hAnsi="Arial" w:cs="Arial"/>
              </w:rPr>
              <w:tab/>
            </w:r>
            <w:r w:rsidRPr="00725D5D">
              <w:rPr>
                <w:rFonts w:ascii="Arial" w:hAnsi="Arial" w:cs="Arial"/>
              </w:rPr>
              <w:tab/>
            </w:r>
            <w:r w:rsidRPr="00725D5D">
              <w:rPr>
                <w:rFonts w:ascii="Arial" w:hAnsi="Arial" w:cs="Arial"/>
              </w:rPr>
              <w:tab/>
              <w:t xml:space="preserve">            </w:t>
            </w:r>
          </w:p>
          <w:p w:rsidR="00A360E8" w:rsidRPr="00725D5D" w:rsidRDefault="00A360E8" w:rsidP="00440055">
            <w:pPr>
              <w:tabs>
                <w:tab w:val="left" w:pos="7371"/>
                <w:tab w:val="left" w:pos="7513"/>
              </w:tabs>
              <w:ind w:left="720"/>
              <w:rPr>
                <w:rFonts w:ascii="Arial" w:hAnsi="Arial" w:cs="Arial"/>
              </w:rPr>
            </w:pPr>
          </w:p>
          <w:p w:rsidR="00A360E8" w:rsidRPr="00725D5D" w:rsidRDefault="00A360E8" w:rsidP="00440055">
            <w:pPr>
              <w:tabs>
                <w:tab w:val="left" w:pos="7655"/>
              </w:tabs>
              <w:ind w:left="720"/>
              <w:rPr>
                <w:rFonts w:ascii="Arial" w:hAnsi="Arial" w:cs="Arial"/>
              </w:rPr>
            </w:pPr>
            <w:r w:rsidRPr="00725D5D">
              <w:rPr>
                <w:rFonts w:ascii="Arial" w:hAnsi="Arial" w:cs="Arial"/>
              </w:rPr>
              <w:t>A</w:t>
            </w:r>
            <w:r>
              <w:rPr>
                <w:rFonts w:ascii="Arial" w:hAnsi="Arial" w:cs="Arial"/>
              </w:rPr>
              <w:t xml:space="preserve">ssembly and </w:t>
            </w:r>
            <w:r w:rsidRPr="00725D5D">
              <w:rPr>
                <w:rFonts w:ascii="Arial" w:hAnsi="Arial" w:cs="Arial"/>
              </w:rPr>
              <w:t>E</w:t>
            </w:r>
            <w:r>
              <w:rPr>
                <w:rFonts w:ascii="Arial" w:hAnsi="Arial" w:cs="Arial"/>
              </w:rPr>
              <w:t xml:space="preserve">xecutive </w:t>
            </w:r>
            <w:r w:rsidRPr="00725D5D">
              <w:rPr>
                <w:rFonts w:ascii="Arial" w:hAnsi="Arial" w:cs="Arial"/>
              </w:rPr>
              <w:t>R</w:t>
            </w:r>
            <w:r>
              <w:rPr>
                <w:rFonts w:ascii="Arial" w:hAnsi="Arial" w:cs="Arial"/>
              </w:rPr>
              <w:t xml:space="preserve">eview </w:t>
            </w:r>
            <w:r w:rsidRPr="00725D5D">
              <w:rPr>
                <w:rFonts w:ascii="Arial" w:hAnsi="Arial" w:cs="Arial"/>
              </w:rPr>
              <w:t>C</w:t>
            </w:r>
            <w:r>
              <w:rPr>
                <w:rFonts w:ascii="Arial" w:hAnsi="Arial" w:cs="Arial"/>
              </w:rPr>
              <w:t>ommittee</w:t>
            </w:r>
          </w:p>
          <w:p w:rsidR="00A360E8" w:rsidRPr="00725D5D" w:rsidRDefault="00A360E8" w:rsidP="00440055">
            <w:pPr>
              <w:ind w:left="720"/>
              <w:rPr>
                <w:rFonts w:ascii="Arial" w:hAnsi="Arial" w:cs="Arial"/>
              </w:rPr>
            </w:pPr>
            <w:r w:rsidRPr="00725D5D">
              <w:rPr>
                <w:rFonts w:ascii="Arial" w:hAnsi="Arial" w:cs="Arial"/>
              </w:rPr>
              <w:t xml:space="preserve">Room </w:t>
            </w:r>
            <w:r>
              <w:rPr>
                <w:rFonts w:ascii="Arial" w:hAnsi="Arial" w:cs="Arial"/>
              </w:rPr>
              <w:t>276</w:t>
            </w:r>
          </w:p>
          <w:p w:rsidR="00A360E8" w:rsidRPr="00725D5D" w:rsidRDefault="00A360E8" w:rsidP="00440055">
            <w:pPr>
              <w:ind w:left="720"/>
              <w:rPr>
                <w:rFonts w:ascii="Arial" w:hAnsi="Arial" w:cs="Arial"/>
              </w:rPr>
            </w:pPr>
            <w:r w:rsidRPr="00725D5D">
              <w:rPr>
                <w:rFonts w:ascii="Arial" w:hAnsi="Arial" w:cs="Arial"/>
              </w:rPr>
              <w:t>Parliament Buildings</w:t>
            </w:r>
          </w:p>
          <w:p w:rsidR="00A360E8" w:rsidRDefault="00A360E8" w:rsidP="00440055">
            <w:pPr>
              <w:ind w:left="720"/>
              <w:rPr>
                <w:rFonts w:ascii="Arial" w:hAnsi="Arial" w:cs="Arial"/>
              </w:rPr>
            </w:pPr>
            <w:proofErr w:type="spellStart"/>
            <w:r>
              <w:rPr>
                <w:rFonts w:ascii="Arial" w:hAnsi="Arial" w:cs="Arial"/>
              </w:rPr>
              <w:t>Ballymiscaw</w:t>
            </w:r>
            <w:proofErr w:type="spellEnd"/>
          </w:p>
          <w:p w:rsidR="00A360E8" w:rsidRPr="00725D5D" w:rsidRDefault="00A360E8" w:rsidP="00440055">
            <w:pPr>
              <w:ind w:left="720"/>
              <w:rPr>
                <w:rFonts w:ascii="Arial" w:hAnsi="Arial" w:cs="Arial"/>
              </w:rPr>
            </w:pPr>
            <w:r w:rsidRPr="00725D5D">
              <w:rPr>
                <w:rFonts w:ascii="Arial" w:hAnsi="Arial" w:cs="Arial"/>
              </w:rPr>
              <w:t>Belfast</w:t>
            </w:r>
            <w:r w:rsidRPr="00725D5D">
              <w:rPr>
                <w:rFonts w:ascii="Arial" w:hAnsi="Arial" w:cs="Arial"/>
              </w:rPr>
              <w:tab/>
            </w:r>
            <w:r w:rsidRPr="00725D5D">
              <w:rPr>
                <w:rFonts w:ascii="Arial" w:hAnsi="Arial" w:cs="Arial"/>
              </w:rPr>
              <w:tab/>
            </w:r>
            <w:r w:rsidRPr="00725D5D">
              <w:rPr>
                <w:rFonts w:ascii="Arial" w:hAnsi="Arial" w:cs="Arial"/>
              </w:rPr>
              <w:tab/>
            </w:r>
            <w:r w:rsidRPr="00725D5D">
              <w:rPr>
                <w:rFonts w:ascii="Arial" w:hAnsi="Arial" w:cs="Arial"/>
              </w:rPr>
              <w:tab/>
            </w:r>
            <w:r w:rsidRPr="00725D5D">
              <w:rPr>
                <w:rFonts w:ascii="Arial" w:hAnsi="Arial" w:cs="Arial"/>
                <w:b/>
              </w:rPr>
              <w:tab/>
            </w:r>
          </w:p>
          <w:p w:rsidR="00A360E8" w:rsidRPr="00725D5D" w:rsidRDefault="00A360E8" w:rsidP="00440055">
            <w:pPr>
              <w:ind w:left="720"/>
              <w:rPr>
                <w:rFonts w:ascii="Arial" w:hAnsi="Arial" w:cs="Arial"/>
              </w:rPr>
            </w:pPr>
            <w:r w:rsidRPr="00725D5D">
              <w:rPr>
                <w:rFonts w:ascii="Arial" w:hAnsi="Arial" w:cs="Arial"/>
              </w:rPr>
              <w:t>B</w:t>
            </w:r>
            <w:r>
              <w:rPr>
                <w:rFonts w:ascii="Arial" w:hAnsi="Arial" w:cs="Arial"/>
              </w:rPr>
              <w:t>T4 3XX</w:t>
            </w:r>
          </w:p>
          <w:p w:rsidR="00A360E8" w:rsidRDefault="00A360E8" w:rsidP="00440055">
            <w:pPr>
              <w:ind w:left="720"/>
              <w:rPr>
                <w:rFonts w:ascii="Arial" w:hAnsi="Arial" w:cs="Arial"/>
              </w:rPr>
            </w:pPr>
          </w:p>
          <w:p w:rsidR="00A360E8" w:rsidRDefault="00A360E8" w:rsidP="00440055">
            <w:pPr>
              <w:ind w:left="720"/>
              <w:rPr>
                <w:rFonts w:ascii="Arial" w:hAnsi="Arial" w:cs="Arial"/>
              </w:rPr>
            </w:pPr>
            <w:r>
              <w:rPr>
                <w:rFonts w:ascii="Arial" w:hAnsi="Arial" w:cs="Arial"/>
              </w:rPr>
              <w:t xml:space="preserve">Tel: </w:t>
            </w:r>
            <w:r w:rsidR="00D95343">
              <w:rPr>
                <w:rFonts w:ascii="Arial" w:hAnsi="Arial" w:cs="Arial"/>
              </w:rPr>
              <w:t>02890521375</w:t>
            </w:r>
          </w:p>
          <w:p w:rsidR="00A360E8" w:rsidRPr="00725D5D" w:rsidRDefault="00A360E8" w:rsidP="00440055">
            <w:pPr>
              <w:ind w:left="720"/>
              <w:rPr>
                <w:rFonts w:ascii="Arial" w:hAnsi="Arial" w:cs="Arial"/>
              </w:rPr>
            </w:pPr>
          </w:p>
          <w:p w:rsidR="00A360E8" w:rsidRDefault="00A360E8" w:rsidP="00440055">
            <w:pPr>
              <w:rPr>
                <w:rFonts w:ascii="Arial" w:hAnsi="Arial" w:cs="Arial"/>
                <w:b/>
              </w:rPr>
            </w:pPr>
            <w:r>
              <w:rPr>
                <w:rFonts w:ascii="Arial" w:hAnsi="Arial" w:cs="Arial"/>
                <w:b/>
              </w:rPr>
              <w:t>To a</w:t>
            </w:r>
            <w:r w:rsidRPr="00725D5D">
              <w:rPr>
                <w:rFonts w:ascii="Arial" w:hAnsi="Arial" w:cs="Arial"/>
                <w:b/>
              </w:rPr>
              <w:t xml:space="preserve">rrive no later </w:t>
            </w:r>
            <w:r w:rsidRPr="004C7CAB">
              <w:rPr>
                <w:rFonts w:ascii="Arial" w:hAnsi="Arial" w:cs="Arial"/>
                <w:b/>
              </w:rPr>
              <w:t xml:space="preserve">than </w:t>
            </w:r>
            <w:r w:rsidR="00D95343">
              <w:rPr>
                <w:rFonts w:ascii="Arial" w:hAnsi="Arial" w:cs="Arial"/>
                <w:b/>
                <w:color w:val="FF0000"/>
              </w:rPr>
              <w:t xml:space="preserve">Tuesday </w:t>
            </w:r>
            <w:r w:rsidR="00717F9D">
              <w:rPr>
                <w:rFonts w:ascii="Arial" w:hAnsi="Arial" w:cs="Arial"/>
                <w:b/>
                <w:color w:val="FF0000"/>
              </w:rPr>
              <w:t>10</w:t>
            </w:r>
            <w:r w:rsidR="00D95343">
              <w:rPr>
                <w:rFonts w:ascii="Arial" w:hAnsi="Arial" w:cs="Arial"/>
                <w:b/>
                <w:color w:val="FF0000"/>
              </w:rPr>
              <w:t xml:space="preserve"> November</w:t>
            </w:r>
            <w:r w:rsidRPr="00A360E8">
              <w:rPr>
                <w:rFonts w:ascii="Arial" w:hAnsi="Arial" w:cs="Arial"/>
                <w:b/>
                <w:color w:val="FF0000"/>
              </w:rPr>
              <w:t xml:space="preserve"> 2015</w:t>
            </w:r>
          </w:p>
          <w:p w:rsidR="00A360E8" w:rsidRPr="00725D5D" w:rsidRDefault="00A360E8" w:rsidP="00440055">
            <w:pPr>
              <w:rPr>
                <w:rFonts w:ascii="Arial" w:hAnsi="Arial" w:cs="Arial"/>
              </w:rPr>
            </w:pPr>
          </w:p>
          <w:p w:rsidR="00A360E8" w:rsidRPr="00725D5D" w:rsidRDefault="00A360E8" w:rsidP="00440055">
            <w:pPr>
              <w:rPr>
                <w:rFonts w:ascii="Arial" w:hAnsi="Arial" w:cs="Arial"/>
              </w:rPr>
            </w:pPr>
            <w:r w:rsidRPr="00725D5D">
              <w:rPr>
                <w:rFonts w:ascii="Arial" w:hAnsi="Arial" w:cs="Arial"/>
                <w:b/>
              </w:rPr>
              <w:t>Email:</w:t>
            </w:r>
            <w:r w:rsidRPr="00725D5D">
              <w:rPr>
                <w:rFonts w:ascii="Arial" w:hAnsi="Arial" w:cs="Arial"/>
              </w:rPr>
              <w:t xml:space="preserve">  </w:t>
            </w:r>
            <w:r w:rsidRPr="00230675">
              <w:rPr>
                <w:rStyle w:val="Hyperlink"/>
                <w:rFonts w:ascii="Arial" w:hAnsi="Arial" w:cs="Arial"/>
              </w:rPr>
              <w:t>committee.assembly&amp;executive</w:t>
            </w:r>
            <w:hyperlink r:id="rId12" w:history="1">
              <w:r w:rsidRPr="00230675">
                <w:rPr>
                  <w:rStyle w:val="Hyperlink"/>
                  <w:rFonts w:ascii="Arial" w:hAnsi="Arial" w:cs="Arial"/>
                </w:rPr>
                <w:t>review@niassembly.gov.uk</w:t>
              </w:r>
            </w:hyperlink>
            <w:r>
              <w:rPr>
                <w:rFonts w:ascii="Arial" w:hAnsi="Arial" w:cs="Arial"/>
              </w:rPr>
              <w:t xml:space="preserve">  </w:t>
            </w:r>
          </w:p>
        </w:tc>
      </w:tr>
      <w:tr w:rsidR="00A360E8" w:rsidRPr="00725D5D" w:rsidTr="009C12C6">
        <w:trPr>
          <w:trHeight w:val="2525"/>
        </w:trPr>
        <w:tc>
          <w:tcPr>
            <w:tcW w:w="10206" w:type="dxa"/>
            <w:shd w:val="clear" w:color="auto" w:fill="auto"/>
          </w:tcPr>
          <w:p w:rsidR="00A360E8" w:rsidRDefault="00A360E8" w:rsidP="00440055">
            <w:pPr>
              <w:jc w:val="center"/>
              <w:rPr>
                <w:rFonts w:ascii="Arial" w:hAnsi="Arial" w:cs="Arial"/>
                <w:b/>
              </w:rPr>
            </w:pPr>
          </w:p>
          <w:p w:rsidR="00A360E8" w:rsidRDefault="00A360E8" w:rsidP="00440055">
            <w:pPr>
              <w:jc w:val="center"/>
              <w:rPr>
                <w:rFonts w:ascii="Arial" w:hAnsi="Arial" w:cs="Arial"/>
                <w:b/>
              </w:rPr>
            </w:pPr>
          </w:p>
          <w:p w:rsidR="00A360E8" w:rsidRDefault="00A360E8" w:rsidP="00440055">
            <w:pPr>
              <w:jc w:val="center"/>
              <w:rPr>
                <w:rFonts w:ascii="Arial" w:hAnsi="Arial" w:cs="Arial"/>
                <w:b/>
              </w:rPr>
            </w:pPr>
          </w:p>
          <w:p w:rsidR="00A360E8" w:rsidRPr="00725D5D" w:rsidRDefault="00A360E8" w:rsidP="00440055">
            <w:pPr>
              <w:jc w:val="center"/>
              <w:rPr>
                <w:rFonts w:ascii="Arial" w:hAnsi="Arial" w:cs="Arial"/>
                <w:b/>
              </w:rPr>
            </w:pPr>
            <w:r>
              <w:rPr>
                <w:rFonts w:ascii="Arial" w:hAnsi="Arial" w:cs="Arial"/>
                <w:b/>
              </w:rPr>
              <w:t>Thank you for your submission</w:t>
            </w:r>
          </w:p>
        </w:tc>
      </w:tr>
    </w:tbl>
    <w:p w:rsidR="00A360E8" w:rsidRPr="00725D5D" w:rsidRDefault="00A360E8" w:rsidP="00A360E8">
      <w:pPr>
        <w:rPr>
          <w:rFonts w:ascii="Arial" w:hAnsi="Arial" w:cs="Arial"/>
        </w:rPr>
      </w:pPr>
    </w:p>
    <w:p w:rsidR="007D7D6B" w:rsidRDefault="007D7D6B" w:rsidP="00A240C1">
      <w:bookmarkStart w:id="0" w:name="_GoBack"/>
      <w:bookmarkEnd w:id="0"/>
    </w:p>
    <w:sectPr w:rsidR="007D7D6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055" w:rsidRDefault="00440055" w:rsidP="006C7E3C">
      <w:r>
        <w:separator/>
      </w:r>
    </w:p>
  </w:endnote>
  <w:endnote w:type="continuationSeparator" w:id="0">
    <w:p w:rsidR="00440055" w:rsidRDefault="00440055" w:rsidP="006C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938143"/>
      <w:docPartObj>
        <w:docPartGallery w:val="Page Numbers (Bottom of Page)"/>
        <w:docPartUnique/>
      </w:docPartObj>
    </w:sdtPr>
    <w:sdtEndPr>
      <w:rPr>
        <w:noProof/>
      </w:rPr>
    </w:sdtEndPr>
    <w:sdtContent>
      <w:p w:rsidR="00440055" w:rsidRDefault="00440055">
        <w:pPr>
          <w:pStyle w:val="Footer"/>
          <w:jc w:val="center"/>
        </w:pPr>
        <w:r>
          <w:fldChar w:fldCharType="begin"/>
        </w:r>
        <w:r>
          <w:instrText xml:space="preserve"> PAGE   \* MERGEFORMAT </w:instrText>
        </w:r>
        <w:r>
          <w:fldChar w:fldCharType="separate"/>
        </w:r>
        <w:r w:rsidR="00744A2F">
          <w:rPr>
            <w:noProof/>
          </w:rPr>
          <w:t>12</w:t>
        </w:r>
        <w:r>
          <w:rPr>
            <w:noProof/>
          </w:rPr>
          <w:fldChar w:fldCharType="end"/>
        </w:r>
      </w:p>
    </w:sdtContent>
  </w:sdt>
  <w:p w:rsidR="00440055" w:rsidRDefault="00440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055" w:rsidRDefault="00440055" w:rsidP="006C7E3C">
      <w:r>
        <w:separator/>
      </w:r>
    </w:p>
  </w:footnote>
  <w:footnote w:type="continuationSeparator" w:id="0">
    <w:p w:rsidR="00440055" w:rsidRDefault="00440055" w:rsidP="006C7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BB7"/>
    <w:multiLevelType w:val="hybridMultilevel"/>
    <w:tmpl w:val="BFEAE89E"/>
    <w:lvl w:ilvl="0" w:tplc="08090017">
      <w:start w:val="1"/>
      <w:numFmt w:val="lowerLetter"/>
      <w:lvlText w:val="%1)"/>
      <w:lvlJc w:val="left"/>
      <w:pPr>
        <w:ind w:left="1429" w:hanging="360"/>
      </w:pPr>
      <w:rPr>
        <w:rFonts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0B1672C2"/>
    <w:multiLevelType w:val="hybridMultilevel"/>
    <w:tmpl w:val="BFD03718"/>
    <w:lvl w:ilvl="0" w:tplc="08090001">
      <w:start w:val="1"/>
      <w:numFmt w:val="bullet"/>
      <w:lvlText w:val=""/>
      <w:lvlJc w:val="left"/>
      <w:pPr>
        <w:ind w:left="1103" w:hanging="360"/>
      </w:pPr>
      <w:rPr>
        <w:rFonts w:ascii="Symbol" w:hAnsi="Symbol"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2">
    <w:nsid w:val="0C844F6E"/>
    <w:multiLevelType w:val="multilevel"/>
    <w:tmpl w:val="E642224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D52792A"/>
    <w:multiLevelType w:val="hybridMultilevel"/>
    <w:tmpl w:val="37EEFDEA"/>
    <w:lvl w:ilvl="0" w:tplc="08090011">
      <w:start w:val="1"/>
      <w:numFmt w:val="decimal"/>
      <w:lvlText w:val="%1)"/>
      <w:lvlJc w:val="left"/>
      <w:pPr>
        <w:ind w:left="1429" w:hanging="360"/>
      </w:pPr>
      <w:rPr>
        <w:rFonts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250C7A9B"/>
    <w:multiLevelType w:val="hybridMultilevel"/>
    <w:tmpl w:val="75C2140A"/>
    <w:lvl w:ilvl="0" w:tplc="C06CA1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A256CD"/>
    <w:multiLevelType w:val="hybridMultilevel"/>
    <w:tmpl w:val="977CDA0C"/>
    <w:lvl w:ilvl="0" w:tplc="8F02EBE4">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726EA2"/>
    <w:multiLevelType w:val="hybridMultilevel"/>
    <w:tmpl w:val="105AC3F2"/>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7">
    <w:nsid w:val="2C3D68C9"/>
    <w:multiLevelType w:val="hybridMultilevel"/>
    <w:tmpl w:val="882A4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08224D1"/>
    <w:multiLevelType w:val="hybridMultilevel"/>
    <w:tmpl w:val="89DADBE0"/>
    <w:lvl w:ilvl="0" w:tplc="1A208E6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31CD4BA6"/>
    <w:multiLevelType w:val="hybridMultilevel"/>
    <w:tmpl w:val="0CA4437C"/>
    <w:lvl w:ilvl="0" w:tplc="5C58F3E4">
      <w:start w:val="1"/>
      <w:numFmt w:val="lowerRoman"/>
      <w:lvlText w:val="%1."/>
      <w:lvlJc w:val="righ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35327EB7"/>
    <w:multiLevelType w:val="multilevel"/>
    <w:tmpl w:val="35BE0A46"/>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3A051600"/>
    <w:multiLevelType w:val="multilevel"/>
    <w:tmpl w:val="82DA5046"/>
    <w:lvl w:ilvl="0">
      <w:start w:val="3"/>
      <w:numFmt w:val="decimal"/>
      <w:lvlText w:val="%1"/>
      <w:lvlJc w:val="left"/>
      <w:pPr>
        <w:ind w:left="465" w:hanging="465"/>
      </w:pPr>
      <w:rPr>
        <w:rFonts w:hint="default"/>
        <w:color w:val="auto"/>
        <w:u w:val="none"/>
      </w:rPr>
    </w:lvl>
    <w:lvl w:ilvl="1">
      <w:start w:val="13"/>
      <w:numFmt w:val="decimal"/>
      <w:lvlText w:val="%1.%2"/>
      <w:lvlJc w:val="left"/>
      <w:pPr>
        <w:ind w:left="465" w:hanging="465"/>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12">
    <w:nsid w:val="3DBB7F67"/>
    <w:multiLevelType w:val="hybridMultilevel"/>
    <w:tmpl w:val="540A6418"/>
    <w:lvl w:ilvl="0" w:tplc="4C5A7B7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3EC51D1"/>
    <w:multiLevelType w:val="hybridMultilevel"/>
    <w:tmpl w:val="27AE97B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556D08A4"/>
    <w:multiLevelType w:val="hybridMultilevel"/>
    <w:tmpl w:val="3476F9F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5">
    <w:nsid w:val="57F63375"/>
    <w:multiLevelType w:val="hybridMultilevel"/>
    <w:tmpl w:val="91363F8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5BE80EA6"/>
    <w:multiLevelType w:val="multilevel"/>
    <w:tmpl w:val="384ABF4E"/>
    <w:lvl w:ilvl="0">
      <w:start w:val="3"/>
      <w:numFmt w:val="decimal"/>
      <w:lvlText w:val="%1"/>
      <w:lvlJc w:val="left"/>
      <w:pPr>
        <w:ind w:left="465" w:hanging="465"/>
      </w:pPr>
      <w:rPr>
        <w:rFonts w:hint="default"/>
        <w:color w:val="auto"/>
        <w:u w:val="none"/>
      </w:rPr>
    </w:lvl>
    <w:lvl w:ilvl="1">
      <w:start w:val="14"/>
      <w:numFmt w:val="decimal"/>
      <w:lvlText w:val="%1.%2"/>
      <w:lvlJc w:val="left"/>
      <w:pPr>
        <w:ind w:left="465" w:hanging="465"/>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17">
    <w:nsid w:val="5F0A518D"/>
    <w:multiLevelType w:val="hybridMultilevel"/>
    <w:tmpl w:val="B100C418"/>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18">
    <w:nsid w:val="5FC37DDD"/>
    <w:multiLevelType w:val="hybridMultilevel"/>
    <w:tmpl w:val="37EEFDEA"/>
    <w:lvl w:ilvl="0" w:tplc="08090011">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nsid w:val="626C0957"/>
    <w:multiLevelType w:val="hybridMultilevel"/>
    <w:tmpl w:val="09C2D81A"/>
    <w:lvl w:ilvl="0" w:tplc="0809000F">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nsid w:val="69EB3758"/>
    <w:multiLevelType w:val="hybridMultilevel"/>
    <w:tmpl w:val="C3BC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F07670"/>
    <w:multiLevelType w:val="hybridMultilevel"/>
    <w:tmpl w:val="ED687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837798"/>
    <w:multiLevelType w:val="hybridMultilevel"/>
    <w:tmpl w:val="A87C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6A6554"/>
    <w:multiLevelType w:val="hybridMultilevel"/>
    <w:tmpl w:val="33DA9EF6"/>
    <w:lvl w:ilvl="0" w:tplc="08090005">
      <w:start w:val="1"/>
      <w:numFmt w:val="bullet"/>
      <w:lvlText w:val=""/>
      <w:lvlJc w:val="left"/>
      <w:pPr>
        <w:ind w:left="1539" w:hanging="360"/>
      </w:pPr>
      <w:rPr>
        <w:rFonts w:ascii="Wingdings" w:hAnsi="Wingdings" w:hint="default"/>
      </w:rPr>
    </w:lvl>
    <w:lvl w:ilvl="1" w:tplc="08090003" w:tentative="1">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24">
    <w:nsid w:val="75963B1D"/>
    <w:multiLevelType w:val="multilevel"/>
    <w:tmpl w:val="0FE8BE34"/>
    <w:lvl w:ilvl="0">
      <w:start w:val="3"/>
      <w:numFmt w:val="decimal"/>
      <w:lvlText w:val="%1."/>
      <w:lvlJc w:val="left"/>
      <w:pPr>
        <w:ind w:left="390" w:hanging="390"/>
      </w:pPr>
      <w:rPr>
        <w:rFonts w:hint="default"/>
      </w:rPr>
    </w:lvl>
    <w:lvl w:ilvl="1">
      <w:start w:val="100"/>
      <w:numFmt w:val="decimal"/>
      <w:lvlText w:val="%1.%2."/>
      <w:lvlJc w:val="left"/>
      <w:pPr>
        <w:ind w:left="1287" w:hanging="720"/>
      </w:pPr>
      <w:rPr>
        <w:rFonts w:hint="default"/>
        <w:b w:val="0"/>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nsid w:val="76724E20"/>
    <w:multiLevelType w:val="hybridMultilevel"/>
    <w:tmpl w:val="DAC2C768"/>
    <w:lvl w:ilvl="0" w:tplc="08090013">
      <w:start w:val="1"/>
      <w:numFmt w:val="upp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6">
    <w:nsid w:val="76865207"/>
    <w:multiLevelType w:val="hybridMultilevel"/>
    <w:tmpl w:val="5ED0B9EE"/>
    <w:lvl w:ilvl="0" w:tplc="0809001B">
      <w:start w:val="1"/>
      <w:numFmt w:val="lowerRoman"/>
      <w:lvlText w:val="%1."/>
      <w:lvlJc w:val="righ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nsid w:val="78E24587"/>
    <w:multiLevelType w:val="hybridMultilevel"/>
    <w:tmpl w:val="019AC4FA"/>
    <w:lvl w:ilvl="0" w:tplc="344A8C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7"/>
  </w:num>
  <w:num w:numId="3">
    <w:abstractNumId w:val="12"/>
  </w:num>
  <w:num w:numId="4">
    <w:abstractNumId w:val="23"/>
  </w:num>
  <w:num w:numId="5">
    <w:abstractNumId w:val="22"/>
  </w:num>
  <w:num w:numId="6">
    <w:abstractNumId w:val="8"/>
  </w:num>
  <w:num w:numId="7">
    <w:abstractNumId w:val="5"/>
  </w:num>
  <w:num w:numId="8">
    <w:abstractNumId w:val="2"/>
  </w:num>
  <w:num w:numId="9">
    <w:abstractNumId w:val="7"/>
  </w:num>
  <w:num w:numId="10">
    <w:abstractNumId w:val="3"/>
  </w:num>
  <w:num w:numId="11">
    <w:abstractNumId w:val="18"/>
  </w:num>
  <w:num w:numId="12">
    <w:abstractNumId w:val="25"/>
  </w:num>
  <w:num w:numId="13">
    <w:abstractNumId w:val="0"/>
  </w:num>
  <w:num w:numId="14">
    <w:abstractNumId w:val="10"/>
  </w:num>
  <w:num w:numId="15">
    <w:abstractNumId w:val="20"/>
  </w:num>
  <w:num w:numId="16">
    <w:abstractNumId w:val="24"/>
  </w:num>
  <w:num w:numId="17">
    <w:abstractNumId w:val="14"/>
  </w:num>
  <w:num w:numId="18">
    <w:abstractNumId w:val="13"/>
  </w:num>
  <w:num w:numId="19">
    <w:abstractNumId w:val="15"/>
  </w:num>
  <w:num w:numId="20">
    <w:abstractNumId w:val="4"/>
  </w:num>
  <w:num w:numId="21">
    <w:abstractNumId w:val="21"/>
  </w:num>
  <w:num w:numId="22">
    <w:abstractNumId w:val="17"/>
  </w:num>
  <w:num w:numId="23">
    <w:abstractNumId w:val="19"/>
  </w:num>
  <w:num w:numId="24">
    <w:abstractNumId w:val="9"/>
  </w:num>
  <w:num w:numId="25">
    <w:abstractNumId w:val="26"/>
  </w:num>
  <w:num w:numId="26">
    <w:abstractNumId w:val="16"/>
  </w:num>
  <w:num w:numId="27">
    <w:abstractNumId w:val="1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C1"/>
    <w:rsid w:val="00043932"/>
    <w:rsid w:val="000A2538"/>
    <w:rsid w:val="000F4912"/>
    <w:rsid w:val="001F481E"/>
    <w:rsid w:val="00304595"/>
    <w:rsid w:val="00317D77"/>
    <w:rsid w:val="00334A99"/>
    <w:rsid w:val="003E08B8"/>
    <w:rsid w:val="00440055"/>
    <w:rsid w:val="004A6B4D"/>
    <w:rsid w:val="005369A9"/>
    <w:rsid w:val="005E1EF2"/>
    <w:rsid w:val="0065176D"/>
    <w:rsid w:val="006C7E3C"/>
    <w:rsid w:val="00717F9D"/>
    <w:rsid w:val="00744A2F"/>
    <w:rsid w:val="007D7D6B"/>
    <w:rsid w:val="00834761"/>
    <w:rsid w:val="00937DA9"/>
    <w:rsid w:val="009A42BD"/>
    <w:rsid w:val="009B199B"/>
    <w:rsid w:val="009C12C6"/>
    <w:rsid w:val="00A240C1"/>
    <w:rsid w:val="00A360E8"/>
    <w:rsid w:val="00AC7DDB"/>
    <w:rsid w:val="00B81620"/>
    <w:rsid w:val="00B93F45"/>
    <w:rsid w:val="00C73774"/>
    <w:rsid w:val="00D064E7"/>
    <w:rsid w:val="00D53AE5"/>
    <w:rsid w:val="00D6521C"/>
    <w:rsid w:val="00D745E8"/>
    <w:rsid w:val="00D95343"/>
    <w:rsid w:val="00DC28BF"/>
    <w:rsid w:val="00E15404"/>
    <w:rsid w:val="00E26B1A"/>
    <w:rsid w:val="00E50EE6"/>
    <w:rsid w:val="00EE1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0C1"/>
    <w:pPr>
      <w:ind w:left="720"/>
    </w:pPr>
  </w:style>
  <w:style w:type="paragraph" w:customStyle="1" w:styleId="q3motion">
    <w:name w:val="q3motion"/>
    <w:basedOn w:val="Normal"/>
    <w:rsid w:val="00A240C1"/>
    <w:pPr>
      <w:spacing w:after="100" w:afterAutospacing="1" w:line="260" w:lineRule="atLeast"/>
      <w:ind w:left="357" w:firstLine="200"/>
    </w:pPr>
    <w:rPr>
      <w:rFonts w:ascii="Arial" w:hAnsi="Arial" w:cs="Arial"/>
      <w:i/>
      <w:iCs/>
      <w:color w:val="000000"/>
      <w:sz w:val="20"/>
      <w:szCs w:val="20"/>
      <w:lang w:eastAsia="en-GB"/>
    </w:rPr>
  </w:style>
  <w:style w:type="paragraph" w:styleId="Header">
    <w:name w:val="header"/>
    <w:basedOn w:val="Normal"/>
    <w:link w:val="HeaderChar"/>
    <w:uiPriority w:val="99"/>
    <w:unhideWhenUsed/>
    <w:rsid w:val="006C7E3C"/>
    <w:pPr>
      <w:tabs>
        <w:tab w:val="center" w:pos="4513"/>
        <w:tab w:val="right" w:pos="9026"/>
      </w:tabs>
    </w:pPr>
  </w:style>
  <w:style w:type="character" w:customStyle="1" w:styleId="HeaderChar">
    <w:name w:val="Header Char"/>
    <w:basedOn w:val="DefaultParagraphFont"/>
    <w:link w:val="Header"/>
    <w:uiPriority w:val="99"/>
    <w:rsid w:val="006C7E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7E3C"/>
    <w:pPr>
      <w:tabs>
        <w:tab w:val="center" w:pos="4513"/>
        <w:tab w:val="right" w:pos="9026"/>
      </w:tabs>
    </w:pPr>
  </w:style>
  <w:style w:type="character" w:customStyle="1" w:styleId="FooterChar">
    <w:name w:val="Footer Char"/>
    <w:basedOn w:val="DefaultParagraphFont"/>
    <w:link w:val="Footer"/>
    <w:uiPriority w:val="99"/>
    <w:rsid w:val="006C7E3C"/>
    <w:rPr>
      <w:rFonts w:ascii="Times New Roman" w:eastAsia="Times New Roman" w:hAnsi="Times New Roman" w:cs="Times New Roman"/>
      <w:sz w:val="24"/>
      <w:szCs w:val="24"/>
    </w:rPr>
  </w:style>
  <w:style w:type="character" w:styleId="Hyperlink">
    <w:name w:val="Hyperlink"/>
    <w:rsid w:val="00334A99"/>
    <w:rPr>
      <w:color w:val="0000FF"/>
      <w:u w:val="single"/>
    </w:rPr>
  </w:style>
  <w:style w:type="table" w:styleId="TableGrid">
    <w:name w:val="Table Grid"/>
    <w:basedOn w:val="TableNormal"/>
    <w:uiPriority w:val="59"/>
    <w:rsid w:val="003E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5343"/>
    <w:rPr>
      <w:rFonts w:ascii="Arial" w:hAnsi="Arial" w:cs="Arial"/>
      <w:sz w:val="16"/>
      <w:szCs w:val="16"/>
    </w:rPr>
  </w:style>
  <w:style w:type="character" w:customStyle="1" w:styleId="BalloonTextChar">
    <w:name w:val="Balloon Text Char"/>
    <w:basedOn w:val="DefaultParagraphFont"/>
    <w:link w:val="BalloonText"/>
    <w:uiPriority w:val="99"/>
    <w:semiHidden/>
    <w:rsid w:val="00D95343"/>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0C1"/>
    <w:pPr>
      <w:ind w:left="720"/>
    </w:pPr>
  </w:style>
  <w:style w:type="paragraph" w:customStyle="1" w:styleId="q3motion">
    <w:name w:val="q3motion"/>
    <w:basedOn w:val="Normal"/>
    <w:rsid w:val="00A240C1"/>
    <w:pPr>
      <w:spacing w:after="100" w:afterAutospacing="1" w:line="260" w:lineRule="atLeast"/>
      <w:ind w:left="357" w:firstLine="200"/>
    </w:pPr>
    <w:rPr>
      <w:rFonts w:ascii="Arial" w:hAnsi="Arial" w:cs="Arial"/>
      <w:i/>
      <w:iCs/>
      <w:color w:val="000000"/>
      <w:sz w:val="20"/>
      <w:szCs w:val="20"/>
      <w:lang w:eastAsia="en-GB"/>
    </w:rPr>
  </w:style>
  <w:style w:type="paragraph" w:styleId="Header">
    <w:name w:val="header"/>
    <w:basedOn w:val="Normal"/>
    <w:link w:val="HeaderChar"/>
    <w:uiPriority w:val="99"/>
    <w:unhideWhenUsed/>
    <w:rsid w:val="006C7E3C"/>
    <w:pPr>
      <w:tabs>
        <w:tab w:val="center" w:pos="4513"/>
        <w:tab w:val="right" w:pos="9026"/>
      </w:tabs>
    </w:pPr>
  </w:style>
  <w:style w:type="character" w:customStyle="1" w:styleId="HeaderChar">
    <w:name w:val="Header Char"/>
    <w:basedOn w:val="DefaultParagraphFont"/>
    <w:link w:val="Header"/>
    <w:uiPriority w:val="99"/>
    <w:rsid w:val="006C7E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7E3C"/>
    <w:pPr>
      <w:tabs>
        <w:tab w:val="center" w:pos="4513"/>
        <w:tab w:val="right" w:pos="9026"/>
      </w:tabs>
    </w:pPr>
  </w:style>
  <w:style w:type="character" w:customStyle="1" w:styleId="FooterChar">
    <w:name w:val="Footer Char"/>
    <w:basedOn w:val="DefaultParagraphFont"/>
    <w:link w:val="Footer"/>
    <w:uiPriority w:val="99"/>
    <w:rsid w:val="006C7E3C"/>
    <w:rPr>
      <w:rFonts w:ascii="Times New Roman" w:eastAsia="Times New Roman" w:hAnsi="Times New Roman" w:cs="Times New Roman"/>
      <w:sz w:val="24"/>
      <w:szCs w:val="24"/>
    </w:rPr>
  </w:style>
  <w:style w:type="character" w:styleId="Hyperlink">
    <w:name w:val="Hyperlink"/>
    <w:rsid w:val="00334A99"/>
    <w:rPr>
      <w:color w:val="0000FF"/>
      <w:u w:val="single"/>
    </w:rPr>
  </w:style>
  <w:style w:type="table" w:styleId="TableGrid">
    <w:name w:val="Table Grid"/>
    <w:basedOn w:val="TableNormal"/>
    <w:uiPriority w:val="59"/>
    <w:rsid w:val="003E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5343"/>
    <w:rPr>
      <w:rFonts w:ascii="Arial" w:hAnsi="Arial" w:cs="Arial"/>
      <w:sz w:val="16"/>
      <w:szCs w:val="16"/>
    </w:rPr>
  </w:style>
  <w:style w:type="character" w:customStyle="1" w:styleId="BalloonTextChar">
    <w:name w:val="Balloon Text Char"/>
    <w:basedOn w:val="DefaultParagraphFont"/>
    <w:link w:val="BalloonText"/>
    <w:uiPriority w:val="99"/>
    <w:semiHidden/>
    <w:rsid w:val="00D95343"/>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20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view@niassembl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assembly.gov.uk/assembly-business/committees/assembly-and-executive-review/repor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o.gov.uk/getattachment/Publications/Publication-of-Draft-Legislation/27250-Cm-8563-v4.pdf.aspx" TargetMode="External"/><Relationship Id="rId4" Type="http://schemas.openxmlformats.org/officeDocument/2006/relationships/settings" Target="settings.xml"/><Relationship Id="rId9" Type="http://schemas.openxmlformats.org/officeDocument/2006/relationships/hyperlink" Target="mailto:committee.assembly&amp;executivereview@niassembly.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14</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NIA</Company>
  <LinksUpToDate>false</LinksUpToDate>
  <CharactersWithSpaces>18756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mccannyc</dc:creator>
  <cp:lastModifiedBy>mccannyc</cp:lastModifiedBy>
  <cp:revision>15</cp:revision>
  <cp:lastPrinted>2015-10-07T13:51:00Z</cp:lastPrinted>
  <dcterms:created xsi:type="dcterms:W3CDTF">2015-09-24T13:17:00Z</dcterms:created>
  <dcterms:modified xsi:type="dcterms:W3CDTF">2015-10-13T15:08:00Z</dcterms:modified>
</cp:coreProperties>
</file>