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EF7" w:rsidRPr="006D4343" w:rsidRDefault="006D4343" w:rsidP="00BA2078">
      <w:pPr>
        <w:rPr>
          <w:rFonts w:ascii="Arial" w:hAnsi="Arial" w:cs="Arial"/>
          <w:b/>
          <w:sz w:val="24"/>
          <w:szCs w:val="24"/>
        </w:rPr>
      </w:pPr>
      <w:bookmarkStart w:id="0" w:name="_GoBack"/>
      <w:bookmarkEnd w:id="0"/>
      <w:r w:rsidRPr="006D4343">
        <w:rPr>
          <w:rFonts w:ascii="Arial" w:hAnsi="Arial" w:cs="Arial"/>
          <w:b/>
          <w:sz w:val="24"/>
          <w:szCs w:val="24"/>
        </w:rPr>
        <w:t>Annex 1</w:t>
      </w:r>
    </w:p>
    <w:p w:rsidR="006D4343" w:rsidRDefault="006D4343" w:rsidP="006D4343">
      <w:pPr>
        <w:spacing w:after="0" w:line="240" w:lineRule="auto"/>
        <w:jc w:val="center"/>
        <w:rPr>
          <w:rFonts w:eastAsia="Times New Roman" w:cstheme="minorHAnsi"/>
          <w:b/>
          <w:sz w:val="32"/>
          <w:szCs w:val="32"/>
        </w:rPr>
      </w:pPr>
      <w:r w:rsidRPr="002A4477">
        <w:rPr>
          <w:rFonts w:eastAsia="Times New Roman" w:cstheme="minorHAnsi"/>
          <w:b/>
          <w:sz w:val="32"/>
          <w:szCs w:val="32"/>
        </w:rPr>
        <w:t>No</w:t>
      </w:r>
      <w:r>
        <w:rPr>
          <w:rFonts w:eastAsia="Times New Roman" w:cstheme="minorHAnsi"/>
          <w:b/>
          <w:sz w:val="32"/>
          <w:szCs w:val="32"/>
        </w:rPr>
        <w:t>rthern Ireland Assembly Audit of Inequalities</w:t>
      </w:r>
      <w:r w:rsidRPr="002A4477">
        <w:rPr>
          <w:rFonts w:eastAsia="Times New Roman" w:cstheme="minorHAnsi"/>
          <w:b/>
          <w:sz w:val="32"/>
          <w:szCs w:val="32"/>
        </w:rPr>
        <w:t xml:space="preserve"> Action Plan</w:t>
      </w:r>
    </w:p>
    <w:p w:rsidR="006D4343" w:rsidRPr="002A4477" w:rsidRDefault="006D4343" w:rsidP="006D4343">
      <w:pPr>
        <w:spacing w:after="0" w:line="240" w:lineRule="auto"/>
        <w:jc w:val="center"/>
        <w:rPr>
          <w:rFonts w:eastAsia="Times New Roman" w:cstheme="minorHAnsi"/>
          <w:b/>
          <w:sz w:val="32"/>
          <w:szCs w:val="32"/>
        </w:rPr>
      </w:pPr>
      <w:r>
        <w:rPr>
          <w:rFonts w:eastAsia="Times New Roman" w:cstheme="minorHAnsi"/>
          <w:b/>
          <w:sz w:val="32"/>
          <w:szCs w:val="32"/>
        </w:rPr>
        <w:t>2012-2016 (ongoing actions)</w:t>
      </w:r>
    </w:p>
    <w:p w:rsidR="006D4343" w:rsidRDefault="006D4343" w:rsidP="006D4343"/>
    <w:tbl>
      <w:tblPr>
        <w:tblStyle w:val="TableGrid"/>
        <w:tblW w:w="0" w:type="auto"/>
        <w:tblLook w:val="04A0" w:firstRow="1" w:lastRow="0" w:firstColumn="1" w:lastColumn="0" w:noHBand="0" w:noVBand="1"/>
      </w:tblPr>
      <w:tblGrid>
        <w:gridCol w:w="2203"/>
        <w:gridCol w:w="1987"/>
        <w:gridCol w:w="1984"/>
        <w:gridCol w:w="2057"/>
        <w:gridCol w:w="1982"/>
        <w:gridCol w:w="1974"/>
        <w:gridCol w:w="1987"/>
      </w:tblGrid>
      <w:tr w:rsidR="006D4343" w:rsidTr="006D4343">
        <w:trPr>
          <w:tblHeader/>
        </w:trPr>
        <w:tc>
          <w:tcPr>
            <w:tcW w:w="2203" w:type="dxa"/>
          </w:tcPr>
          <w:p w:rsidR="006D4343" w:rsidRPr="002A4477" w:rsidRDefault="006D4343" w:rsidP="006D4343">
            <w:pPr>
              <w:rPr>
                <w:rFonts w:ascii="Arial" w:hAnsi="Arial" w:cs="Arial"/>
                <w:b/>
                <w:sz w:val="24"/>
                <w:szCs w:val="24"/>
              </w:rPr>
            </w:pPr>
            <w:r w:rsidRPr="002A4477">
              <w:rPr>
                <w:rFonts w:ascii="Arial" w:hAnsi="Arial" w:cs="Arial"/>
                <w:b/>
                <w:sz w:val="24"/>
                <w:szCs w:val="24"/>
              </w:rPr>
              <w:t>Action taken to better promote equality of opportunity/good relations</w:t>
            </w:r>
          </w:p>
        </w:tc>
        <w:tc>
          <w:tcPr>
            <w:tcW w:w="1987" w:type="dxa"/>
          </w:tcPr>
          <w:p w:rsidR="006D4343" w:rsidRPr="002A4477" w:rsidRDefault="006D4343" w:rsidP="006D4343">
            <w:pPr>
              <w:rPr>
                <w:rFonts w:ascii="Arial" w:hAnsi="Arial" w:cs="Arial"/>
                <w:b/>
                <w:sz w:val="24"/>
                <w:szCs w:val="24"/>
              </w:rPr>
            </w:pPr>
            <w:r w:rsidRPr="002A4477">
              <w:rPr>
                <w:rFonts w:ascii="Arial" w:hAnsi="Arial" w:cs="Arial"/>
                <w:b/>
                <w:sz w:val="24"/>
                <w:szCs w:val="24"/>
              </w:rPr>
              <w:t>Outcome Area(s)</w:t>
            </w:r>
          </w:p>
        </w:tc>
        <w:tc>
          <w:tcPr>
            <w:tcW w:w="1984" w:type="dxa"/>
          </w:tcPr>
          <w:p w:rsidR="006D4343" w:rsidRPr="002A4477" w:rsidRDefault="006D4343" w:rsidP="006D4343">
            <w:pPr>
              <w:rPr>
                <w:rFonts w:ascii="Arial" w:hAnsi="Arial" w:cs="Arial"/>
                <w:b/>
                <w:sz w:val="24"/>
                <w:szCs w:val="24"/>
              </w:rPr>
            </w:pPr>
            <w:r w:rsidRPr="002A4477">
              <w:rPr>
                <w:rFonts w:ascii="Arial" w:hAnsi="Arial" w:cs="Arial"/>
                <w:b/>
                <w:sz w:val="24"/>
                <w:szCs w:val="24"/>
              </w:rPr>
              <w:t>S75 Category</w:t>
            </w:r>
          </w:p>
        </w:tc>
        <w:tc>
          <w:tcPr>
            <w:tcW w:w="2057" w:type="dxa"/>
          </w:tcPr>
          <w:p w:rsidR="006D4343" w:rsidRPr="002A4477" w:rsidRDefault="006D4343" w:rsidP="006D4343">
            <w:pPr>
              <w:rPr>
                <w:rFonts w:ascii="Arial" w:hAnsi="Arial" w:cs="Arial"/>
                <w:b/>
                <w:sz w:val="24"/>
                <w:szCs w:val="24"/>
              </w:rPr>
            </w:pPr>
            <w:r w:rsidRPr="002A4477">
              <w:rPr>
                <w:rFonts w:ascii="Arial" w:hAnsi="Arial" w:cs="Arial"/>
                <w:b/>
                <w:sz w:val="24"/>
                <w:szCs w:val="24"/>
              </w:rPr>
              <w:t>Intended outcome/impact and how this will be measured</w:t>
            </w:r>
          </w:p>
        </w:tc>
        <w:tc>
          <w:tcPr>
            <w:tcW w:w="1982" w:type="dxa"/>
          </w:tcPr>
          <w:p w:rsidR="006D4343" w:rsidRPr="002A4477" w:rsidRDefault="006D4343" w:rsidP="006D4343">
            <w:pPr>
              <w:rPr>
                <w:rFonts w:ascii="Arial" w:hAnsi="Arial" w:cs="Arial"/>
                <w:b/>
                <w:sz w:val="24"/>
                <w:szCs w:val="24"/>
              </w:rPr>
            </w:pPr>
            <w:r w:rsidRPr="002A4477">
              <w:rPr>
                <w:rFonts w:ascii="Arial" w:hAnsi="Arial" w:cs="Arial"/>
                <w:b/>
                <w:sz w:val="24"/>
                <w:szCs w:val="24"/>
              </w:rPr>
              <w:t>In the current service Business Plan (Yes/No)</w:t>
            </w:r>
          </w:p>
        </w:tc>
        <w:tc>
          <w:tcPr>
            <w:tcW w:w="1974" w:type="dxa"/>
          </w:tcPr>
          <w:p w:rsidR="006D4343" w:rsidRPr="002A4477" w:rsidRDefault="006D4343" w:rsidP="006D4343">
            <w:pPr>
              <w:rPr>
                <w:rFonts w:ascii="Arial" w:hAnsi="Arial" w:cs="Arial"/>
                <w:b/>
                <w:sz w:val="24"/>
                <w:szCs w:val="24"/>
              </w:rPr>
            </w:pPr>
            <w:r w:rsidRPr="002A4477">
              <w:rPr>
                <w:rFonts w:ascii="Arial" w:hAnsi="Arial" w:cs="Arial"/>
                <w:b/>
                <w:sz w:val="24"/>
                <w:szCs w:val="24"/>
              </w:rPr>
              <w:t>Lead</w:t>
            </w:r>
          </w:p>
        </w:tc>
        <w:tc>
          <w:tcPr>
            <w:tcW w:w="1987" w:type="dxa"/>
          </w:tcPr>
          <w:p w:rsidR="006D4343" w:rsidRPr="002A4477" w:rsidRDefault="006D4343" w:rsidP="006D4343">
            <w:pPr>
              <w:rPr>
                <w:rFonts w:ascii="Arial" w:hAnsi="Arial" w:cs="Arial"/>
                <w:b/>
                <w:sz w:val="24"/>
                <w:szCs w:val="24"/>
              </w:rPr>
            </w:pPr>
            <w:r w:rsidRPr="002A4477">
              <w:rPr>
                <w:rFonts w:ascii="Arial" w:hAnsi="Arial" w:cs="Arial"/>
                <w:b/>
                <w:sz w:val="24"/>
                <w:szCs w:val="24"/>
              </w:rPr>
              <w:t>Timescale</w:t>
            </w:r>
          </w:p>
        </w:tc>
      </w:tr>
      <w:tr w:rsidR="006D4343" w:rsidTr="006D4343">
        <w:tc>
          <w:tcPr>
            <w:tcW w:w="2203" w:type="dxa"/>
          </w:tcPr>
          <w:p w:rsidR="006D4343" w:rsidRPr="004050F5" w:rsidRDefault="006D434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t xml:space="preserve">Improve </w:t>
            </w:r>
            <w:r w:rsidRPr="004050F5">
              <w:rPr>
                <w:rFonts w:ascii="Arial" w:eastAsia="Times New Roman" w:hAnsi="Arial" w:cs="Arial"/>
                <w:color w:val="000000"/>
                <w:sz w:val="21"/>
                <w:szCs w:val="21"/>
                <w:lang w:val="en-US"/>
              </w:rPr>
              <w:t>accessibility to the Chamber and Offi</w:t>
            </w:r>
            <w:r>
              <w:rPr>
                <w:rFonts w:ascii="Arial" w:eastAsia="Times New Roman" w:hAnsi="Arial" w:cs="Arial"/>
                <w:color w:val="000000"/>
                <w:sz w:val="21"/>
                <w:szCs w:val="21"/>
                <w:lang w:val="en-US"/>
              </w:rPr>
              <w:t>cial’s Boxes within the Chamber</w:t>
            </w:r>
          </w:p>
        </w:tc>
        <w:tc>
          <w:tcPr>
            <w:tcW w:w="1987" w:type="dxa"/>
          </w:tcPr>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Access to Parliament Buildings</w:t>
            </w:r>
          </w:p>
        </w:tc>
        <w:tc>
          <w:tcPr>
            <w:tcW w:w="1984" w:type="dxa"/>
          </w:tcPr>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Persons with a disability and persons without</w:t>
            </w:r>
          </w:p>
        </w:tc>
        <w:tc>
          <w:tcPr>
            <w:tcW w:w="2057" w:type="dxa"/>
          </w:tcPr>
          <w:p w:rsidR="00DC41C6" w:rsidRPr="00DC41C6" w:rsidRDefault="00D23CE3" w:rsidP="00DC41C6">
            <w:pPr>
              <w:rPr>
                <w:rFonts w:ascii="Arial" w:eastAsia="Times New Roman" w:hAnsi="Arial" w:cs="Arial"/>
                <w:sz w:val="21"/>
                <w:szCs w:val="21"/>
                <w:lang w:val="en-US"/>
              </w:rPr>
            </w:pPr>
            <w:r>
              <w:rPr>
                <w:rFonts w:ascii="Arial" w:eastAsia="Times New Roman" w:hAnsi="Arial" w:cs="Arial"/>
                <w:sz w:val="21"/>
                <w:szCs w:val="21"/>
                <w:lang w:val="en-US"/>
              </w:rPr>
              <w:t>Improved accessibility to C</w:t>
            </w:r>
            <w:r w:rsidR="00DC41C6" w:rsidRPr="00DC41C6">
              <w:rPr>
                <w:rFonts w:ascii="Arial" w:eastAsia="Times New Roman" w:hAnsi="Arial" w:cs="Arial"/>
                <w:sz w:val="21"/>
                <w:szCs w:val="21"/>
                <w:lang w:val="en-US"/>
              </w:rPr>
              <w:t>hamber for all Members. Increased capacity for Official’s with mobility issues.</w:t>
            </w:r>
          </w:p>
          <w:p w:rsidR="006D4343" w:rsidRPr="004050F5" w:rsidRDefault="006D4343" w:rsidP="006D4343">
            <w:pPr>
              <w:rPr>
                <w:rFonts w:ascii="Arial" w:eastAsia="Times New Roman" w:hAnsi="Arial" w:cs="Arial"/>
                <w:color w:val="000000"/>
                <w:sz w:val="21"/>
                <w:szCs w:val="21"/>
                <w:lang w:val="en-US"/>
              </w:rPr>
            </w:pPr>
          </w:p>
        </w:tc>
        <w:tc>
          <w:tcPr>
            <w:tcW w:w="1982" w:type="dxa"/>
          </w:tcPr>
          <w:p w:rsidR="00DC41C6" w:rsidRPr="00DC41C6" w:rsidRDefault="00DC41C6" w:rsidP="00DC41C6">
            <w:pPr>
              <w:rPr>
                <w:rFonts w:ascii="Arial" w:eastAsia="Times New Roman" w:hAnsi="Arial" w:cs="Arial"/>
                <w:sz w:val="21"/>
                <w:szCs w:val="21"/>
                <w:lang w:val="en-US"/>
              </w:rPr>
            </w:pPr>
            <w:r w:rsidRPr="00DC41C6">
              <w:rPr>
                <w:rFonts w:ascii="Arial" w:eastAsia="Times New Roman" w:hAnsi="Arial" w:cs="Arial"/>
                <w:sz w:val="21"/>
                <w:szCs w:val="21"/>
                <w:lang w:val="en-US"/>
              </w:rPr>
              <w:t>No. Further improvements will require extensive re-modelling of the chamber.</w:t>
            </w:r>
          </w:p>
          <w:p w:rsidR="00DC41C6" w:rsidRPr="00DC41C6" w:rsidRDefault="00DC41C6" w:rsidP="00DC41C6">
            <w:pPr>
              <w:rPr>
                <w:rFonts w:ascii="Arial" w:eastAsia="Times New Roman" w:hAnsi="Arial" w:cs="Arial"/>
                <w:sz w:val="21"/>
                <w:szCs w:val="21"/>
                <w:lang w:val="en-US"/>
              </w:rPr>
            </w:pPr>
            <w:r w:rsidRPr="00DC41C6">
              <w:rPr>
                <w:rFonts w:ascii="Arial" w:eastAsia="Times New Roman" w:hAnsi="Arial" w:cs="Arial"/>
                <w:sz w:val="21"/>
                <w:szCs w:val="21"/>
                <w:lang w:val="en-US"/>
              </w:rPr>
              <w:t>If required (and approved), such works will be included in future Business Plans.</w:t>
            </w:r>
          </w:p>
          <w:p w:rsidR="006D4343" w:rsidRPr="004050F5" w:rsidRDefault="006D4343" w:rsidP="006D4343">
            <w:pPr>
              <w:rPr>
                <w:rFonts w:ascii="Arial" w:eastAsia="Times New Roman" w:hAnsi="Arial" w:cs="Arial"/>
                <w:color w:val="000000"/>
                <w:sz w:val="21"/>
                <w:szCs w:val="21"/>
                <w:lang w:val="en-US"/>
              </w:rPr>
            </w:pPr>
          </w:p>
        </w:tc>
        <w:tc>
          <w:tcPr>
            <w:tcW w:w="1974" w:type="dxa"/>
          </w:tcPr>
          <w:p w:rsidR="006D4343" w:rsidRPr="00DC41C6" w:rsidRDefault="00DC41C6" w:rsidP="006D4343">
            <w:pPr>
              <w:rPr>
                <w:rFonts w:ascii="Arial" w:eastAsia="Times New Roman" w:hAnsi="Arial" w:cs="Arial"/>
                <w:sz w:val="21"/>
                <w:szCs w:val="21"/>
                <w:lang w:val="en-US"/>
              </w:rPr>
            </w:pPr>
            <w:r w:rsidRPr="00DC41C6">
              <w:rPr>
                <w:rFonts w:ascii="Arial" w:eastAsia="Times New Roman" w:hAnsi="Arial" w:cs="Arial"/>
                <w:sz w:val="21"/>
                <w:szCs w:val="21"/>
                <w:lang w:val="en-US"/>
              </w:rPr>
              <w:t>Head of Building Services</w:t>
            </w:r>
          </w:p>
        </w:tc>
        <w:tc>
          <w:tcPr>
            <w:tcW w:w="1987" w:type="dxa"/>
          </w:tcPr>
          <w:p w:rsidR="006D4343" w:rsidRPr="00DC41C6" w:rsidRDefault="00DC41C6" w:rsidP="006D4343">
            <w:pPr>
              <w:rPr>
                <w:rFonts w:ascii="Arial" w:eastAsia="Times New Roman" w:hAnsi="Arial" w:cs="Arial"/>
                <w:sz w:val="21"/>
                <w:szCs w:val="21"/>
                <w:lang w:val="en-US"/>
              </w:rPr>
            </w:pPr>
            <w:r w:rsidRPr="00DC41C6">
              <w:rPr>
                <w:rFonts w:ascii="Arial" w:eastAsia="Times New Roman" w:hAnsi="Arial" w:cs="Arial"/>
                <w:sz w:val="21"/>
                <w:szCs w:val="21"/>
                <w:lang w:val="en-US"/>
              </w:rPr>
              <w:t>To be agreed.</w:t>
            </w:r>
          </w:p>
        </w:tc>
      </w:tr>
      <w:tr w:rsidR="006D4343" w:rsidTr="006D4343">
        <w:tc>
          <w:tcPr>
            <w:tcW w:w="2203" w:type="dxa"/>
          </w:tcPr>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 xml:space="preserve">Implementation of access audits completed by RNIB, Disability Action and Action on Hearing Loss regarding a </w:t>
            </w:r>
            <w:proofErr w:type="spellStart"/>
            <w:r w:rsidRPr="004050F5">
              <w:rPr>
                <w:rFonts w:ascii="Arial" w:eastAsia="Times New Roman" w:hAnsi="Arial" w:cs="Arial"/>
                <w:color w:val="000000"/>
                <w:sz w:val="21"/>
                <w:szCs w:val="21"/>
                <w:lang w:val="en-US"/>
              </w:rPr>
              <w:t>programme</w:t>
            </w:r>
            <w:proofErr w:type="spellEnd"/>
            <w:r w:rsidRPr="004050F5">
              <w:rPr>
                <w:rFonts w:ascii="Arial" w:eastAsia="Times New Roman" w:hAnsi="Arial" w:cs="Arial"/>
                <w:color w:val="000000"/>
                <w:sz w:val="21"/>
                <w:szCs w:val="21"/>
                <w:lang w:val="en-US"/>
              </w:rPr>
              <w:t xml:space="preserve"> of works</w:t>
            </w:r>
          </w:p>
        </w:tc>
        <w:tc>
          <w:tcPr>
            <w:tcW w:w="1987" w:type="dxa"/>
          </w:tcPr>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Access to Parliament Buildings</w:t>
            </w:r>
          </w:p>
          <w:p w:rsidR="006D4343" w:rsidRPr="004050F5" w:rsidRDefault="006D4343" w:rsidP="006D4343">
            <w:pPr>
              <w:rPr>
                <w:rFonts w:ascii="Arial" w:eastAsia="Times New Roman" w:hAnsi="Arial" w:cs="Arial"/>
                <w:color w:val="000000"/>
                <w:sz w:val="21"/>
                <w:szCs w:val="21"/>
                <w:lang w:val="en-US"/>
              </w:rPr>
            </w:pPr>
          </w:p>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Access to Services</w:t>
            </w:r>
          </w:p>
        </w:tc>
        <w:tc>
          <w:tcPr>
            <w:tcW w:w="1984" w:type="dxa"/>
          </w:tcPr>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Persons with a disability and persons without</w:t>
            </w:r>
          </w:p>
        </w:tc>
        <w:tc>
          <w:tcPr>
            <w:tcW w:w="2057" w:type="dxa"/>
          </w:tcPr>
          <w:p w:rsidR="00DC41C6" w:rsidRPr="00DC41C6" w:rsidRDefault="00DC41C6" w:rsidP="00DC41C6">
            <w:pPr>
              <w:rPr>
                <w:rFonts w:ascii="Arial" w:eastAsia="Times New Roman" w:hAnsi="Arial" w:cs="Arial"/>
                <w:sz w:val="21"/>
                <w:szCs w:val="21"/>
                <w:lang w:val="en-US"/>
              </w:rPr>
            </w:pPr>
            <w:r w:rsidRPr="00DC41C6">
              <w:rPr>
                <w:rFonts w:ascii="Arial" w:eastAsia="Times New Roman" w:hAnsi="Arial" w:cs="Arial"/>
                <w:sz w:val="21"/>
                <w:szCs w:val="21"/>
                <w:lang w:val="en-US"/>
              </w:rPr>
              <w:t xml:space="preserve">Improved accessibility to Parliament Buildings for persons with a disability. </w:t>
            </w:r>
          </w:p>
          <w:p w:rsidR="006D4343" w:rsidRPr="00DC41C6" w:rsidRDefault="00DC41C6" w:rsidP="00DC41C6">
            <w:pPr>
              <w:rPr>
                <w:rFonts w:ascii="Arial" w:eastAsia="Times New Roman" w:hAnsi="Arial" w:cs="Arial"/>
                <w:sz w:val="21"/>
                <w:szCs w:val="21"/>
                <w:lang w:val="en-US"/>
              </w:rPr>
            </w:pPr>
            <w:r w:rsidRPr="00DC41C6">
              <w:rPr>
                <w:rFonts w:ascii="Arial" w:eastAsia="Times New Roman" w:hAnsi="Arial" w:cs="Arial"/>
                <w:sz w:val="21"/>
                <w:szCs w:val="21"/>
                <w:lang w:val="en-US"/>
              </w:rPr>
              <w:t>All works projects are designed and constructed in accordance with Building Regulations and other relevant legislation.</w:t>
            </w:r>
          </w:p>
        </w:tc>
        <w:tc>
          <w:tcPr>
            <w:tcW w:w="1982" w:type="dxa"/>
          </w:tcPr>
          <w:p w:rsidR="00DC41C6" w:rsidRPr="00DC41C6" w:rsidRDefault="00DC41C6" w:rsidP="00DC41C6">
            <w:pPr>
              <w:rPr>
                <w:rFonts w:ascii="Arial" w:eastAsia="Times New Roman" w:hAnsi="Arial" w:cs="Arial"/>
                <w:sz w:val="21"/>
                <w:szCs w:val="21"/>
                <w:lang w:val="en-US"/>
              </w:rPr>
            </w:pPr>
            <w:r w:rsidRPr="00DC41C6">
              <w:rPr>
                <w:rFonts w:ascii="Arial" w:eastAsia="Times New Roman" w:hAnsi="Arial" w:cs="Arial"/>
                <w:sz w:val="21"/>
                <w:szCs w:val="21"/>
                <w:lang w:val="en-US"/>
              </w:rPr>
              <w:t xml:space="preserve">No. All work items within our remit relating to the audits have been completed. </w:t>
            </w:r>
          </w:p>
          <w:p w:rsidR="00DC41C6" w:rsidRPr="00DC41C6" w:rsidRDefault="00DC41C6" w:rsidP="00DC41C6">
            <w:pPr>
              <w:rPr>
                <w:rFonts w:ascii="Arial" w:eastAsia="Times New Roman" w:hAnsi="Arial" w:cs="Arial"/>
                <w:sz w:val="21"/>
                <w:szCs w:val="21"/>
                <w:lang w:val="en-US"/>
              </w:rPr>
            </w:pPr>
            <w:r w:rsidRPr="00DC41C6">
              <w:rPr>
                <w:rFonts w:ascii="Arial" w:eastAsia="Times New Roman" w:hAnsi="Arial" w:cs="Arial"/>
                <w:sz w:val="21"/>
                <w:szCs w:val="21"/>
                <w:lang w:val="en-US"/>
              </w:rPr>
              <w:t xml:space="preserve">Other wider ‘estate’ issues have been passed to DFP. </w:t>
            </w:r>
          </w:p>
          <w:p w:rsidR="00DC41C6" w:rsidRPr="00DC41C6" w:rsidRDefault="00DC41C6" w:rsidP="00DC41C6">
            <w:pPr>
              <w:rPr>
                <w:rFonts w:ascii="Arial" w:eastAsia="Times New Roman" w:hAnsi="Arial" w:cs="Arial"/>
                <w:sz w:val="21"/>
                <w:szCs w:val="21"/>
                <w:lang w:val="en-US"/>
              </w:rPr>
            </w:pPr>
            <w:r w:rsidRPr="00DC41C6">
              <w:rPr>
                <w:rFonts w:ascii="Arial" w:eastAsia="Times New Roman" w:hAnsi="Arial" w:cs="Arial"/>
                <w:sz w:val="21"/>
                <w:szCs w:val="21"/>
                <w:lang w:val="en-US"/>
              </w:rPr>
              <w:t>Further agreed improvements will be included in relevant Business Plan.</w:t>
            </w:r>
          </w:p>
          <w:p w:rsidR="006D4343" w:rsidRPr="00DC41C6" w:rsidRDefault="006D4343" w:rsidP="006D4343">
            <w:pPr>
              <w:rPr>
                <w:rFonts w:ascii="Arial" w:eastAsia="Times New Roman" w:hAnsi="Arial" w:cs="Arial"/>
                <w:sz w:val="21"/>
                <w:szCs w:val="21"/>
                <w:lang w:val="en-US"/>
              </w:rPr>
            </w:pPr>
          </w:p>
        </w:tc>
        <w:tc>
          <w:tcPr>
            <w:tcW w:w="1974" w:type="dxa"/>
          </w:tcPr>
          <w:p w:rsidR="006D4343" w:rsidRPr="00DC41C6" w:rsidRDefault="00DC41C6" w:rsidP="006D4343">
            <w:pPr>
              <w:rPr>
                <w:rFonts w:ascii="Arial" w:eastAsia="Times New Roman" w:hAnsi="Arial" w:cs="Arial"/>
                <w:sz w:val="21"/>
                <w:szCs w:val="21"/>
                <w:lang w:val="en-US"/>
              </w:rPr>
            </w:pPr>
            <w:r w:rsidRPr="00DC41C6">
              <w:rPr>
                <w:rFonts w:ascii="Arial" w:eastAsia="Times New Roman" w:hAnsi="Arial" w:cs="Arial"/>
                <w:sz w:val="21"/>
                <w:szCs w:val="21"/>
                <w:lang w:val="en-US"/>
              </w:rPr>
              <w:lastRenderedPageBreak/>
              <w:t>Head of Building Services</w:t>
            </w:r>
          </w:p>
        </w:tc>
        <w:tc>
          <w:tcPr>
            <w:tcW w:w="1987" w:type="dxa"/>
          </w:tcPr>
          <w:p w:rsidR="006D4343" w:rsidRPr="00DC41C6" w:rsidRDefault="00DC41C6" w:rsidP="006D4343">
            <w:pPr>
              <w:rPr>
                <w:rFonts w:ascii="Arial" w:eastAsia="Times New Roman" w:hAnsi="Arial" w:cs="Arial"/>
                <w:sz w:val="21"/>
                <w:szCs w:val="21"/>
                <w:lang w:val="en-US"/>
              </w:rPr>
            </w:pPr>
            <w:r w:rsidRPr="00DC41C6">
              <w:rPr>
                <w:rFonts w:ascii="Arial" w:eastAsia="Times New Roman" w:hAnsi="Arial" w:cs="Arial"/>
                <w:sz w:val="21"/>
                <w:szCs w:val="21"/>
                <w:lang w:val="en-US"/>
              </w:rPr>
              <w:t>To be agreed.</w:t>
            </w:r>
          </w:p>
        </w:tc>
      </w:tr>
      <w:tr w:rsidR="006D4343" w:rsidTr="006D4343">
        <w:tc>
          <w:tcPr>
            <w:tcW w:w="2203" w:type="dxa"/>
          </w:tcPr>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lastRenderedPageBreak/>
              <w:t xml:space="preserve">Provision of translation from Irish and Ulster Scots to English to the </w:t>
            </w:r>
            <w:r>
              <w:rPr>
                <w:rFonts w:ascii="Arial" w:eastAsia="Times New Roman" w:hAnsi="Arial" w:cs="Arial"/>
                <w:color w:val="000000"/>
                <w:sz w:val="21"/>
                <w:szCs w:val="21"/>
                <w:lang w:val="en-US"/>
              </w:rPr>
              <w:t>Speaker and Clerks at the table</w:t>
            </w:r>
          </w:p>
        </w:tc>
        <w:tc>
          <w:tcPr>
            <w:tcW w:w="1987" w:type="dxa"/>
          </w:tcPr>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Good Relations</w:t>
            </w:r>
          </w:p>
        </w:tc>
        <w:tc>
          <w:tcPr>
            <w:tcW w:w="1984" w:type="dxa"/>
          </w:tcPr>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Persons of different religious belief</w:t>
            </w:r>
          </w:p>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Persons of different political opinion</w:t>
            </w:r>
          </w:p>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Persons of different racial group</w:t>
            </w:r>
          </w:p>
        </w:tc>
        <w:tc>
          <w:tcPr>
            <w:tcW w:w="2057" w:type="dxa"/>
          </w:tcPr>
          <w:p w:rsidR="006D4343" w:rsidRPr="004050F5" w:rsidRDefault="006D4343" w:rsidP="006D4343">
            <w:pPr>
              <w:rPr>
                <w:rFonts w:ascii="Arial" w:eastAsia="Times New Roman" w:hAnsi="Arial" w:cs="Arial"/>
                <w:color w:val="000000"/>
                <w:sz w:val="21"/>
                <w:szCs w:val="21"/>
                <w:lang w:val="en-US"/>
              </w:rPr>
            </w:pPr>
            <w:r w:rsidRPr="00161B9A">
              <w:rPr>
                <w:rFonts w:ascii="Arial" w:eastAsia="Times New Roman" w:hAnsi="Arial" w:cs="Arial"/>
                <w:color w:val="000000"/>
                <w:sz w:val="21"/>
                <w:szCs w:val="21"/>
                <w:lang w:val="en-US"/>
              </w:rPr>
              <w:t>That the Speaker/Clerks at Table receive and understand what is being said.  Without such a service there could potentially be a breach of Assembly Standing Orders. Measured by exception i.e. Speaker/Clerks at Table advise that no such service is provided and by recording translation audio channel on SLIQ system.</w:t>
            </w:r>
          </w:p>
        </w:tc>
        <w:tc>
          <w:tcPr>
            <w:tcW w:w="1982" w:type="dxa"/>
          </w:tcPr>
          <w:p w:rsidR="006D4343" w:rsidRPr="004050F5" w:rsidRDefault="006D434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t>Yes</w:t>
            </w:r>
          </w:p>
        </w:tc>
        <w:tc>
          <w:tcPr>
            <w:tcW w:w="1974" w:type="dxa"/>
          </w:tcPr>
          <w:p w:rsidR="006D4343" w:rsidRPr="004050F5" w:rsidRDefault="006D434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t>Editor of Debates</w:t>
            </w:r>
          </w:p>
        </w:tc>
        <w:tc>
          <w:tcPr>
            <w:tcW w:w="1987" w:type="dxa"/>
          </w:tcPr>
          <w:p w:rsidR="006D4343" w:rsidRPr="004050F5" w:rsidRDefault="006D434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t>Ongoing</w:t>
            </w:r>
          </w:p>
        </w:tc>
      </w:tr>
      <w:tr w:rsidR="006D4343" w:rsidTr="006D4343">
        <w:tc>
          <w:tcPr>
            <w:tcW w:w="2203" w:type="dxa"/>
          </w:tcPr>
          <w:p w:rsidR="006D4343" w:rsidRPr="004050F5" w:rsidRDefault="006D434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t>E</w:t>
            </w:r>
            <w:r w:rsidRPr="004050F5">
              <w:rPr>
                <w:rFonts w:ascii="Arial" w:eastAsia="Times New Roman" w:hAnsi="Arial" w:cs="Arial"/>
                <w:color w:val="000000"/>
                <w:sz w:val="21"/>
                <w:szCs w:val="21"/>
                <w:lang w:val="en-US"/>
              </w:rPr>
              <w:t xml:space="preserve">nsure </w:t>
            </w:r>
            <w:r>
              <w:rPr>
                <w:rFonts w:ascii="Arial" w:eastAsia="Times New Roman" w:hAnsi="Arial" w:cs="Arial"/>
                <w:color w:val="000000"/>
                <w:sz w:val="21"/>
                <w:szCs w:val="21"/>
                <w:lang w:val="en-US"/>
              </w:rPr>
              <w:t>Parliament Buildings</w:t>
            </w:r>
            <w:r w:rsidRPr="004050F5">
              <w:rPr>
                <w:rFonts w:ascii="Arial" w:eastAsia="Times New Roman" w:hAnsi="Arial" w:cs="Arial"/>
                <w:color w:val="000000"/>
                <w:sz w:val="21"/>
                <w:szCs w:val="21"/>
                <w:lang w:val="en-US"/>
              </w:rPr>
              <w:t xml:space="preserve"> is welcoming to all </w:t>
            </w:r>
            <w:r>
              <w:rPr>
                <w:rFonts w:ascii="Arial" w:eastAsia="Times New Roman" w:hAnsi="Arial" w:cs="Arial"/>
                <w:color w:val="000000"/>
                <w:sz w:val="21"/>
                <w:szCs w:val="21"/>
                <w:lang w:val="en-US"/>
              </w:rPr>
              <w:t>sections of society and cultures by reviewing a</w:t>
            </w:r>
            <w:r w:rsidRPr="004050F5">
              <w:rPr>
                <w:rFonts w:ascii="Arial" w:eastAsia="Times New Roman" w:hAnsi="Arial" w:cs="Arial"/>
                <w:color w:val="000000"/>
                <w:sz w:val="21"/>
                <w:szCs w:val="21"/>
                <w:lang w:val="en-US"/>
              </w:rPr>
              <w:t>rt, artefacts and exhibitions</w:t>
            </w:r>
          </w:p>
        </w:tc>
        <w:tc>
          <w:tcPr>
            <w:tcW w:w="1987" w:type="dxa"/>
          </w:tcPr>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Good Relations</w:t>
            </w:r>
          </w:p>
        </w:tc>
        <w:tc>
          <w:tcPr>
            <w:tcW w:w="1984" w:type="dxa"/>
          </w:tcPr>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Persons of different religious belief</w:t>
            </w:r>
          </w:p>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Persons of different political opinion</w:t>
            </w:r>
          </w:p>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Persons of different racial group</w:t>
            </w:r>
          </w:p>
        </w:tc>
        <w:tc>
          <w:tcPr>
            <w:tcW w:w="2057" w:type="dxa"/>
          </w:tcPr>
          <w:p w:rsidR="006D4343" w:rsidRDefault="001161CE" w:rsidP="006D4343">
            <w:pPr>
              <w:rPr>
                <w:rFonts w:ascii="Arial" w:eastAsia="Times New Roman" w:hAnsi="Arial" w:cs="Arial"/>
                <w:color w:val="000000"/>
                <w:sz w:val="21"/>
                <w:szCs w:val="21"/>
                <w:lang w:val="en-US"/>
              </w:rPr>
            </w:pPr>
            <w:r w:rsidRPr="00E331EB">
              <w:rPr>
                <w:rFonts w:ascii="Arial" w:eastAsia="Times New Roman" w:hAnsi="Arial" w:cs="Arial"/>
                <w:color w:val="000000"/>
                <w:sz w:val="21"/>
                <w:szCs w:val="21"/>
                <w:lang w:val="en-US"/>
              </w:rPr>
              <w:t>Exhibitions policy being reviewed to consider how exhibitions can be better used in Great Hall to enhance the visitor experience.</w:t>
            </w:r>
          </w:p>
          <w:p w:rsidR="0045448B" w:rsidRDefault="0045448B" w:rsidP="006D4343">
            <w:pPr>
              <w:rPr>
                <w:rFonts w:ascii="Arial" w:eastAsia="Times New Roman" w:hAnsi="Arial" w:cs="Arial"/>
                <w:color w:val="000000"/>
                <w:sz w:val="21"/>
                <w:szCs w:val="21"/>
                <w:lang w:val="en-US"/>
              </w:rPr>
            </w:pPr>
          </w:p>
          <w:p w:rsidR="0045448B" w:rsidRPr="004050F5" w:rsidRDefault="0045448B" w:rsidP="006D4343">
            <w:pPr>
              <w:rPr>
                <w:rFonts w:ascii="Arial" w:eastAsia="Times New Roman" w:hAnsi="Arial" w:cs="Arial"/>
                <w:color w:val="000000"/>
                <w:sz w:val="21"/>
                <w:szCs w:val="21"/>
                <w:lang w:val="en-US"/>
              </w:rPr>
            </w:pPr>
          </w:p>
        </w:tc>
        <w:tc>
          <w:tcPr>
            <w:tcW w:w="1982" w:type="dxa"/>
          </w:tcPr>
          <w:p w:rsidR="006D4343" w:rsidRPr="004050F5" w:rsidRDefault="001161CE" w:rsidP="006D4343">
            <w:pPr>
              <w:rPr>
                <w:rFonts w:ascii="Arial" w:eastAsia="Times New Roman" w:hAnsi="Arial" w:cs="Arial"/>
                <w:color w:val="000000"/>
                <w:sz w:val="21"/>
                <w:szCs w:val="21"/>
                <w:lang w:val="en-US"/>
              </w:rPr>
            </w:pPr>
            <w:r w:rsidRPr="00E331EB">
              <w:rPr>
                <w:rFonts w:ascii="Arial" w:eastAsia="Times New Roman" w:hAnsi="Arial" w:cs="Arial"/>
                <w:color w:val="000000"/>
                <w:sz w:val="21"/>
                <w:szCs w:val="21"/>
                <w:lang w:val="en-US"/>
              </w:rPr>
              <w:t>Yes but expected to change.</w:t>
            </w:r>
          </w:p>
        </w:tc>
        <w:tc>
          <w:tcPr>
            <w:tcW w:w="1974" w:type="dxa"/>
          </w:tcPr>
          <w:p w:rsidR="006D4343" w:rsidRPr="004050F5" w:rsidRDefault="006D4343" w:rsidP="006D4343">
            <w:pPr>
              <w:rPr>
                <w:rFonts w:ascii="Arial" w:eastAsia="Times New Roman" w:hAnsi="Arial" w:cs="Arial"/>
                <w:color w:val="000000"/>
                <w:sz w:val="21"/>
                <w:szCs w:val="21"/>
                <w:lang w:val="en-US"/>
              </w:rPr>
            </w:pPr>
            <w:r w:rsidRPr="001161CE">
              <w:rPr>
                <w:rFonts w:ascii="Arial" w:eastAsia="Times New Roman" w:hAnsi="Arial" w:cs="Arial"/>
                <w:sz w:val="21"/>
                <w:szCs w:val="21"/>
                <w:lang w:val="en-US"/>
              </w:rPr>
              <w:t>Advisor to the Speaker</w:t>
            </w:r>
          </w:p>
        </w:tc>
        <w:tc>
          <w:tcPr>
            <w:tcW w:w="1987" w:type="dxa"/>
          </w:tcPr>
          <w:p w:rsidR="006D4343" w:rsidRPr="004050F5" w:rsidRDefault="001161CE" w:rsidP="006D4343">
            <w:pPr>
              <w:rPr>
                <w:rFonts w:ascii="Arial" w:eastAsia="Times New Roman" w:hAnsi="Arial" w:cs="Arial"/>
                <w:color w:val="000000"/>
                <w:sz w:val="21"/>
                <w:szCs w:val="21"/>
                <w:lang w:val="en-US"/>
              </w:rPr>
            </w:pPr>
            <w:r w:rsidRPr="00E331EB">
              <w:rPr>
                <w:rFonts w:ascii="Arial" w:eastAsia="Times New Roman" w:hAnsi="Arial" w:cs="Arial"/>
                <w:color w:val="000000"/>
                <w:sz w:val="21"/>
                <w:szCs w:val="21"/>
                <w:lang w:val="en-US"/>
              </w:rPr>
              <w:t>October 2015</w:t>
            </w:r>
          </w:p>
        </w:tc>
      </w:tr>
      <w:tr w:rsidR="006D4343" w:rsidTr="006D4343">
        <w:tc>
          <w:tcPr>
            <w:tcW w:w="2203" w:type="dxa"/>
          </w:tcPr>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Language Policy</w:t>
            </w:r>
          </w:p>
        </w:tc>
        <w:tc>
          <w:tcPr>
            <w:tcW w:w="1987" w:type="dxa"/>
          </w:tcPr>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Good Relations</w:t>
            </w:r>
          </w:p>
        </w:tc>
        <w:tc>
          <w:tcPr>
            <w:tcW w:w="1984" w:type="dxa"/>
          </w:tcPr>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 xml:space="preserve">Persons of </w:t>
            </w:r>
            <w:r w:rsidRPr="004050F5">
              <w:rPr>
                <w:rFonts w:ascii="Arial" w:eastAsia="Times New Roman" w:hAnsi="Arial" w:cs="Arial"/>
                <w:color w:val="000000"/>
                <w:sz w:val="21"/>
                <w:szCs w:val="21"/>
                <w:lang w:val="en-US"/>
              </w:rPr>
              <w:lastRenderedPageBreak/>
              <w:t>different religious belief</w:t>
            </w:r>
          </w:p>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Persons of different political opinion</w:t>
            </w:r>
          </w:p>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Persons of different racial group</w:t>
            </w:r>
          </w:p>
        </w:tc>
        <w:tc>
          <w:tcPr>
            <w:tcW w:w="2057" w:type="dxa"/>
          </w:tcPr>
          <w:p w:rsidR="006D4343" w:rsidRPr="004050F5" w:rsidRDefault="006D4343" w:rsidP="006D4343">
            <w:pPr>
              <w:rPr>
                <w:rFonts w:ascii="Arial" w:eastAsia="Times New Roman" w:hAnsi="Arial" w:cs="Arial"/>
                <w:color w:val="000000"/>
                <w:sz w:val="21"/>
                <w:szCs w:val="21"/>
                <w:lang w:val="en-US"/>
              </w:rPr>
            </w:pPr>
            <w:r w:rsidRPr="002A4477">
              <w:rPr>
                <w:rFonts w:ascii="Arial" w:eastAsia="Times New Roman" w:hAnsi="Arial" w:cs="Arial"/>
                <w:sz w:val="21"/>
                <w:szCs w:val="21"/>
                <w:lang w:val="en-US"/>
              </w:rPr>
              <w:lastRenderedPageBreak/>
              <w:t xml:space="preserve">The Education </w:t>
            </w:r>
            <w:r w:rsidRPr="002A4477">
              <w:rPr>
                <w:rFonts w:ascii="Arial" w:eastAsia="Times New Roman" w:hAnsi="Arial" w:cs="Arial"/>
                <w:sz w:val="21"/>
                <w:szCs w:val="21"/>
                <w:lang w:val="en-US"/>
              </w:rPr>
              <w:lastRenderedPageBreak/>
              <w:t xml:space="preserve">Service now provides a </w:t>
            </w:r>
            <w:proofErr w:type="spellStart"/>
            <w:r w:rsidRPr="002A4477">
              <w:rPr>
                <w:rFonts w:ascii="Arial" w:eastAsia="Times New Roman" w:hAnsi="Arial" w:cs="Arial"/>
                <w:sz w:val="21"/>
                <w:szCs w:val="21"/>
                <w:lang w:val="en-US"/>
              </w:rPr>
              <w:t>programme</w:t>
            </w:r>
            <w:proofErr w:type="spellEnd"/>
            <w:r w:rsidRPr="002A4477">
              <w:rPr>
                <w:rFonts w:ascii="Arial" w:eastAsia="Times New Roman" w:hAnsi="Arial" w:cs="Arial"/>
                <w:sz w:val="21"/>
                <w:szCs w:val="21"/>
                <w:lang w:val="en-US"/>
              </w:rPr>
              <w:t xml:space="preserve"> in Irish, and is also </w:t>
            </w:r>
            <w:r w:rsidRPr="00FB2F42">
              <w:rPr>
                <w:rFonts w:ascii="Arial" w:eastAsia="Times New Roman" w:hAnsi="Arial" w:cs="Arial"/>
                <w:sz w:val="21"/>
                <w:szCs w:val="21"/>
                <w:lang w:val="en-US"/>
              </w:rPr>
              <w:t>currently working on translating the primary section of the website and some video resources into Irish.</w:t>
            </w:r>
          </w:p>
        </w:tc>
        <w:tc>
          <w:tcPr>
            <w:tcW w:w="1982" w:type="dxa"/>
          </w:tcPr>
          <w:p w:rsidR="006D4343" w:rsidRPr="004050F5" w:rsidRDefault="006D434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lastRenderedPageBreak/>
              <w:t>Yes</w:t>
            </w:r>
          </w:p>
        </w:tc>
        <w:tc>
          <w:tcPr>
            <w:tcW w:w="1974" w:type="dxa"/>
          </w:tcPr>
          <w:p w:rsidR="006D4343" w:rsidRPr="004050F5" w:rsidRDefault="006D434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t xml:space="preserve">Education </w:t>
            </w:r>
            <w:r>
              <w:rPr>
                <w:rFonts w:ascii="Arial" w:eastAsia="Times New Roman" w:hAnsi="Arial" w:cs="Arial"/>
                <w:color w:val="000000"/>
                <w:sz w:val="21"/>
                <w:szCs w:val="21"/>
                <w:lang w:val="en-US"/>
              </w:rPr>
              <w:lastRenderedPageBreak/>
              <w:t>Manager/ Equality Manager</w:t>
            </w:r>
          </w:p>
        </w:tc>
        <w:tc>
          <w:tcPr>
            <w:tcW w:w="1987" w:type="dxa"/>
          </w:tcPr>
          <w:p w:rsidR="006D4343" w:rsidRPr="004050F5" w:rsidRDefault="006D434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lastRenderedPageBreak/>
              <w:t>Ongoing</w:t>
            </w:r>
          </w:p>
        </w:tc>
      </w:tr>
      <w:tr w:rsidR="006D4343" w:rsidTr="006D4343">
        <w:tc>
          <w:tcPr>
            <w:tcW w:w="2203" w:type="dxa"/>
          </w:tcPr>
          <w:p w:rsidR="006D4343" w:rsidRPr="004050F5" w:rsidRDefault="006D434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lastRenderedPageBreak/>
              <w:t xml:space="preserve">EQIA on the </w:t>
            </w:r>
            <w:r w:rsidRPr="004050F5">
              <w:rPr>
                <w:rFonts w:ascii="Arial" w:eastAsia="Times New Roman" w:hAnsi="Arial" w:cs="Arial"/>
                <w:color w:val="000000"/>
                <w:sz w:val="21"/>
                <w:szCs w:val="21"/>
                <w:lang w:val="en-US"/>
              </w:rPr>
              <w:t>Flying of the Union Flag</w:t>
            </w:r>
            <w:r>
              <w:rPr>
                <w:rFonts w:ascii="Arial" w:eastAsia="Times New Roman" w:hAnsi="Arial" w:cs="Arial"/>
                <w:color w:val="000000"/>
                <w:sz w:val="21"/>
                <w:szCs w:val="21"/>
                <w:lang w:val="en-US"/>
              </w:rPr>
              <w:t xml:space="preserve"> at Parliament Buildings</w:t>
            </w:r>
          </w:p>
        </w:tc>
        <w:tc>
          <w:tcPr>
            <w:tcW w:w="1987" w:type="dxa"/>
          </w:tcPr>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Good Relations</w:t>
            </w:r>
          </w:p>
        </w:tc>
        <w:tc>
          <w:tcPr>
            <w:tcW w:w="1984" w:type="dxa"/>
          </w:tcPr>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Persons of different religious belief</w:t>
            </w:r>
          </w:p>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Persons of different political opinion</w:t>
            </w:r>
          </w:p>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Persons of different racial group</w:t>
            </w:r>
          </w:p>
        </w:tc>
        <w:tc>
          <w:tcPr>
            <w:tcW w:w="2057" w:type="dxa"/>
          </w:tcPr>
          <w:p w:rsidR="006D4343" w:rsidRPr="004050F5" w:rsidRDefault="006D434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t xml:space="preserve">The completion of an EQIA on the policy review will assist the Commission in making a decision on the policy. </w:t>
            </w:r>
          </w:p>
        </w:tc>
        <w:tc>
          <w:tcPr>
            <w:tcW w:w="1982" w:type="dxa"/>
          </w:tcPr>
          <w:p w:rsidR="006D4343" w:rsidRPr="004050F5" w:rsidRDefault="006D434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t>Yes</w:t>
            </w:r>
          </w:p>
        </w:tc>
        <w:tc>
          <w:tcPr>
            <w:tcW w:w="1974" w:type="dxa"/>
          </w:tcPr>
          <w:p w:rsidR="006D4343" w:rsidRPr="004050F5" w:rsidRDefault="006D434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t>Equality Manager</w:t>
            </w:r>
          </w:p>
        </w:tc>
        <w:tc>
          <w:tcPr>
            <w:tcW w:w="1987" w:type="dxa"/>
          </w:tcPr>
          <w:p w:rsidR="006D4343" w:rsidRPr="004050F5" w:rsidRDefault="006D434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t>May 2015 (further report and monitoring to be timetabled)</w:t>
            </w:r>
            <w:proofErr w:type="gramStart"/>
            <w:r>
              <w:rPr>
                <w:rFonts w:ascii="Arial" w:eastAsia="Times New Roman" w:hAnsi="Arial" w:cs="Arial"/>
                <w:color w:val="000000"/>
                <w:sz w:val="21"/>
                <w:szCs w:val="21"/>
                <w:lang w:val="en-US"/>
              </w:rPr>
              <w:t>.</w:t>
            </w:r>
            <w:proofErr w:type="gramEnd"/>
          </w:p>
        </w:tc>
      </w:tr>
      <w:tr w:rsidR="006D4343" w:rsidTr="006D4343">
        <w:tc>
          <w:tcPr>
            <w:tcW w:w="2203" w:type="dxa"/>
          </w:tcPr>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Develop revised Engagement Strategy</w:t>
            </w:r>
          </w:p>
        </w:tc>
        <w:tc>
          <w:tcPr>
            <w:tcW w:w="1987" w:type="dxa"/>
          </w:tcPr>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Participation</w:t>
            </w:r>
          </w:p>
        </w:tc>
        <w:tc>
          <w:tcPr>
            <w:tcW w:w="1984" w:type="dxa"/>
          </w:tcPr>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All groups</w:t>
            </w:r>
          </w:p>
        </w:tc>
        <w:tc>
          <w:tcPr>
            <w:tcW w:w="2057" w:type="dxa"/>
          </w:tcPr>
          <w:p w:rsidR="006D4343" w:rsidRPr="004050F5" w:rsidRDefault="006D4343" w:rsidP="006D4343">
            <w:pPr>
              <w:rPr>
                <w:rFonts w:ascii="Arial" w:eastAsia="Times New Roman" w:hAnsi="Arial" w:cs="Arial"/>
                <w:color w:val="000000"/>
                <w:sz w:val="21"/>
                <w:szCs w:val="21"/>
                <w:lang w:val="en-US"/>
              </w:rPr>
            </w:pPr>
            <w:r w:rsidRPr="00FB2F42">
              <w:rPr>
                <w:rFonts w:ascii="Arial" w:eastAsia="Times New Roman" w:hAnsi="Arial" w:cs="Arial"/>
                <w:color w:val="000000"/>
                <w:sz w:val="21"/>
                <w:szCs w:val="21"/>
                <w:lang w:val="en-US"/>
              </w:rPr>
              <w:t>Inform the public of how NIA engages with stakeholders and how it will seek to improve this.</w:t>
            </w:r>
          </w:p>
        </w:tc>
        <w:tc>
          <w:tcPr>
            <w:tcW w:w="1982" w:type="dxa"/>
          </w:tcPr>
          <w:p w:rsidR="006D4343" w:rsidRPr="004050F5" w:rsidRDefault="006D434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t>Yes</w:t>
            </w:r>
          </w:p>
        </w:tc>
        <w:tc>
          <w:tcPr>
            <w:tcW w:w="1974" w:type="dxa"/>
          </w:tcPr>
          <w:p w:rsidR="006D4343" w:rsidRPr="004050F5" w:rsidRDefault="006D434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t>Outreach Manager</w:t>
            </w:r>
          </w:p>
        </w:tc>
        <w:tc>
          <w:tcPr>
            <w:tcW w:w="1987" w:type="dxa"/>
          </w:tcPr>
          <w:p w:rsidR="006D4343" w:rsidRPr="004050F5" w:rsidRDefault="006D4343" w:rsidP="006D4343">
            <w:pPr>
              <w:rPr>
                <w:rFonts w:ascii="Arial" w:eastAsia="Times New Roman" w:hAnsi="Arial" w:cs="Arial"/>
                <w:color w:val="000000"/>
                <w:sz w:val="21"/>
                <w:szCs w:val="21"/>
                <w:lang w:val="en-US"/>
              </w:rPr>
            </w:pPr>
            <w:r w:rsidRPr="00FB2F42">
              <w:rPr>
                <w:rFonts w:ascii="Arial" w:eastAsia="Times New Roman" w:hAnsi="Arial" w:cs="Arial"/>
                <w:color w:val="000000"/>
                <w:sz w:val="21"/>
                <w:szCs w:val="21"/>
                <w:lang w:val="en-US"/>
              </w:rPr>
              <w:t>May 2015</w:t>
            </w:r>
          </w:p>
        </w:tc>
      </w:tr>
      <w:tr w:rsidR="006D4343" w:rsidTr="006D4343">
        <w:tc>
          <w:tcPr>
            <w:tcW w:w="2203" w:type="dxa"/>
          </w:tcPr>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Support for Members and staff w</w:t>
            </w:r>
            <w:r>
              <w:rPr>
                <w:rFonts w:ascii="Arial" w:eastAsia="Times New Roman" w:hAnsi="Arial" w:cs="Arial"/>
                <w:color w:val="000000"/>
                <w:sz w:val="21"/>
                <w:szCs w:val="21"/>
                <w:lang w:val="en-US"/>
              </w:rPr>
              <w:t>ith child care responsibilities</w:t>
            </w:r>
          </w:p>
        </w:tc>
        <w:tc>
          <w:tcPr>
            <w:tcW w:w="1987" w:type="dxa"/>
          </w:tcPr>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Participation</w:t>
            </w:r>
          </w:p>
          <w:p w:rsidR="006D4343" w:rsidRPr="004050F5" w:rsidRDefault="006D4343" w:rsidP="006D4343">
            <w:pPr>
              <w:rPr>
                <w:rFonts w:ascii="Arial" w:eastAsia="Times New Roman" w:hAnsi="Arial" w:cs="Arial"/>
                <w:color w:val="000000"/>
                <w:sz w:val="21"/>
                <w:szCs w:val="21"/>
                <w:lang w:val="en-US"/>
              </w:rPr>
            </w:pPr>
          </w:p>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Equality Issues for Existing Staff</w:t>
            </w:r>
          </w:p>
        </w:tc>
        <w:tc>
          <w:tcPr>
            <w:tcW w:w="1984" w:type="dxa"/>
          </w:tcPr>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Men and women generally</w:t>
            </w:r>
          </w:p>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Persons with dependents and persons without</w:t>
            </w:r>
          </w:p>
        </w:tc>
        <w:tc>
          <w:tcPr>
            <w:tcW w:w="2057" w:type="dxa"/>
          </w:tcPr>
          <w:p w:rsidR="006D4343" w:rsidRPr="00F76F76" w:rsidRDefault="006D4343" w:rsidP="006D4343">
            <w:pPr>
              <w:rPr>
                <w:rFonts w:ascii="Arial" w:eastAsia="Times New Roman" w:hAnsi="Arial" w:cs="Arial"/>
                <w:color w:val="000000"/>
                <w:sz w:val="21"/>
                <w:szCs w:val="21"/>
                <w:lang w:val="en-US"/>
              </w:rPr>
            </w:pPr>
            <w:r w:rsidRPr="00F76F76">
              <w:rPr>
                <w:rFonts w:ascii="Arial" w:eastAsia="Times New Roman" w:hAnsi="Arial" w:cs="Arial"/>
                <w:color w:val="000000"/>
                <w:sz w:val="21"/>
                <w:szCs w:val="21"/>
                <w:lang w:val="en-US"/>
              </w:rPr>
              <w:t xml:space="preserve">The Assembly Commission will continue to provide support to staff with childcare responsibilities. </w:t>
            </w:r>
          </w:p>
          <w:p w:rsidR="006D4343" w:rsidRPr="00F76F76" w:rsidRDefault="006D4343" w:rsidP="006D4343">
            <w:pPr>
              <w:rPr>
                <w:rFonts w:ascii="Arial" w:eastAsia="Times New Roman" w:hAnsi="Arial" w:cs="Arial"/>
                <w:color w:val="000000"/>
                <w:sz w:val="21"/>
                <w:szCs w:val="21"/>
                <w:lang w:val="en-US"/>
              </w:rPr>
            </w:pPr>
            <w:r w:rsidRPr="00F76F76">
              <w:rPr>
                <w:rFonts w:ascii="Arial" w:eastAsia="Times New Roman" w:hAnsi="Arial" w:cs="Arial"/>
                <w:color w:val="000000"/>
                <w:sz w:val="21"/>
                <w:szCs w:val="21"/>
                <w:lang w:val="en-US"/>
              </w:rPr>
              <w:t xml:space="preserve">Provision of support to </w:t>
            </w:r>
            <w:r w:rsidRPr="00F76F76">
              <w:rPr>
                <w:rFonts w:ascii="Arial" w:eastAsia="Times New Roman" w:hAnsi="Arial" w:cs="Arial"/>
                <w:color w:val="000000"/>
                <w:sz w:val="21"/>
                <w:szCs w:val="21"/>
                <w:lang w:val="en-US"/>
              </w:rPr>
              <w:lastRenderedPageBreak/>
              <w:t xml:space="preserve">Members is now a matter for </w:t>
            </w:r>
            <w:r w:rsidR="00D23CE3">
              <w:rPr>
                <w:rFonts w:ascii="Arial" w:eastAsia="Times New Roman" w:hAnsi="Arial" w:cs="Arial"/>
                <w:color w:val="000000"/>
                <w:sz w:val="21"/>
                <w:szCs w:val="21"/>
                <w:lang w:val="en-US"/>
              </w:rPr>
              <w:t>Independent Financial Review Panel (</w:t>
            </w:r>
            <w:r w:rsidRPr="00F76F76">
              <w:rPr>
                <w:rFonts w:ascii="Arial" w:eastAsia="Times New Roman" w:hAnsi="Arial" w:cs="Arial"/>
                <w:color w:val="000000"/>
                <w:sz w:val="21"/>
                <w:szCs w:val="21"/>
                <w:lang w:val="en-US"/>
              </w:rPr>
              <w:t>IFRP</w:t>
            </w:r>
            <w:r w:rsidR="00D23CE3">
              <w:rPr>
                <w:rFonts w:ascii="Arial" w:eastAsia="Times New Roman" w:hAnsi="Arial" w:cs="Arial"/>
                <w:color w:val="000000"/>
                <w:sz w:val="21"/>
                <w:szCs w:val="21"/>
                <w:lang w:val="en-US"/>
              </w:rPr>
              <w:t>)</w:t>
            </w:r>
            <w:r w:rsidRPr="00F76F76">
              <w:rPr>
                <w:rFonts w:ascii="Arial" w:eastAsia="Times New Roman" w:hAnsi="Arial" w:cs="Arial"/>
                <w:color w:val="000000"/>
                <w:sz w:val="21"/>
                <w:szCs w:val="21"/>
                <w:lang w:val="en-US"/>
              </w:rPr>
              <w:t xml:space="preserve"> and not the Commission.</w:t>
            </w:r>
          </w:p>
        </w:tc>
        <w:tc>
          <w:tcPr>
            <w:tcW w:w="1982" w:type="dxa"/>
          </w:tcPr>
          <w:p w:rsidR="006D4343" w:rsidRPr="00F76F76" w:rsidRDefault="006D4343" w:rsidP="006D4343">
            <w:pPr>
              <w:rPr>
                <w:rFonts w:ascii="Arial" w:eastAsia="Times New Roman" w:hAnsi="Arial" w:cs="Arial"/>
                <w:color w:val="000000"/>
                <w:sz w:val="21"/>
                <w:szCs w:val="21"/>
                <w:lang w:val="en-US"/>
              </w:rPr>
            </w:pPr>
            <w:r w:rsidRPr="00F76F76">
              <w:rPr>
                <w:rFonts w:ascii="Arial" w:eastAsia="Times New Roman" w:hAnsi="Arial" w:cs="Arial"/>
                <w:color w:val="000000"/>
                <w:sz w:val="21"/>
                <w:szCs w:val="21"/>
                <w:lang w:val="en-US"/>
              </w:rPr>
              <w:lastRenderedPageBreak/>
              <w:t>The way in which support is provided is currently under review by the Commission.</w:t>
            </w:r>
          </w:p>
        </w:tc>
        <w:tc>
          <w:tcPr>
            <w:tcW w:w="1974" w:type="dxa"/>
          </w:tcPr>
          <w:p w:rsidR="006D4343" w:rsidRPr="00F76F76" w:rsidRDefault="006D4343" w:rsidP="006D4343">
            <w:pPr>
              <w:rPr>
                <w:rFonts w:ascii="Arial" w:eastAsia="Times New Roman" w:hAnsi="Arial" w:cs="Arial"/>
                <w:color w:val="000000"/>
                <w:sz w:val="21"/>
                <w:szCs w:val="21"/>
                <w:lang w:val="en-US"/>
              </w:rPr>
            </w:pPr>
            <w:r w:rsidRPr="00F76F76">
              <w:rPr>
                <w:rFonts w:ascii="Arial" w:eastAsia="Times New Roman" w:hAnsi="Arial" w:cs="Arial"/>
                <w:sz w:val="21"/>
                <w:szCs w:val="21"/>
                <w:lang w:val="en-US"/>
              </w:rPr>
              <w:t>Head of HR</w:t>
            </w:r>
          </w:p>
        </w:tc>
        <w:tc>
          <w:tcPr>
            <w:tcW w:w="1987" w:type="dxa"/>
          </w:tcPr>
          <w:p w:rsidR="006D4343" w:rsidRPr="00F76F76" w:rsidRDefault="006D4343" w:rsidP="006D4343">
            <w:pPr>
              <w:rPr>
                <w:rFonts w:ascii="Arial" w:eastAsia="Times New Roman" w:hAnsi="Arial" w:cs="Arial"/>
                <w:color w:val="000000"/>
                <w:sz w:val="21"/>
                <w:szCs w:val="21"/>
                <w:lang w:val="en-US"/>
              </w:rPr>
            </w:pPr>
            <w:r w:rsidRPr="00F76F76">
              <w:rPr>
                <w:rFonts w:ascii="Arial" w:eastAsia="Times New Roman" w:hAnsi="Arial" w:cs="Arial"/>
                <w:color w:val="000000"/>
                <w:sz w:val="21"/>
                <w:szCs w:val="21"/>
                <w:lang w:val="en-US"/>
              </w:rPr>
              <w:t>Review completed and changes to arrangements, if any, to be implemented by 31 March 2016.</w:t>
            </w:r>
          </w:p>
        </w:tc>
      </w:tr>
      <w:tr w:rsidR="006D4343" w:rsidTr="006D4343">
        <w:tc>
          <w:tcPr>
            <w:tcW w:w="2203" w:type="dxa"/>
          </w:tcPr>
          <w:p w:rsidR="006D4343" w:rsidRPr="004050F5" w:rsidRDefault="006D434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lastRenderedPageBreak/>
              <w:t>Engaging with w</w:t>
            </w:r>
            <w:r w:rsidRPr="004050F5">
              <w:rPr>
                <w:rFonts w:ascii="Arial" w:eastAsia="Times New Roman" w:hAnsi="Arial" w:cs="Arial"/>
                <w:color w:val="000000"/>
                <w:sz w:val="21"/>
                <w:szCs w:val="21"/>
                <w:lang w:val="en-US"/>
              </w:rPr>
              <w:t>omen, people with disabilities and ethnic minorities u</w:t>
            </w:r>
            <w:r>
              <w:rPr>
                <w:rFonts w:ascii="Arial" w:eastAsia="Times New Roman" w:hAnsi="Arial" w:cs="Arial"/>
                <w:color w:val="000000"/>
                <w:sz w:val="21"/>
                <w:szCs w:val="21"/>
                <w:lang w:val="en-US"/>
              </w:rPr>
              <w:t>nder-represented in public life through Assembly Community Connect</w:t>
            </w:r>
          </w:p>
          <w:p w:rsidR="006D4343" w:rsidRPr="004050F5" w:rsidRDefault="006D4343" w:rsidP="006D4343">
            <w:pPr>
              <w:rPr>
                <w:rFonts w:ascii="Arial" w:eastAsia="Times New Roman" w:hAnsi="Arial" w:cs="Arial"/>
                <w:color w:val="000000"/>
                <w:sz w:val="21"/>
                <w:szCs w:val="21"/>
                <w:lang w:val="en-US"/>
              </w:rPr>
            </w:pPr>
          </w:p>
        </w:tc>
        <w:tc>
          <w:tcPr>
            <w:tcW w:w="1987" w:type="dxa"/>
          </w:tcPr>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Participation</w:t>
            </w:r>
          </w:p>
        </w:tc>
        <w:tc>
          <w:tcPr>
            <w:tcW w:w="1984" w:type="dxa"/>
          </w:tcPr>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Men and women generally</w:t>
            </w:r>
          </w:p>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Persons with a disability and persons without</w:t>
            </w:r>
          </w:p>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Persons of different racial group</w:t>
            </w:r>
          </w:p>
        </w:tc>
        <w:tc>
          <w:tcPr>
            <w:tcW w:w="2057" w:type="dxa"/>
          </w:tcPr>
          <w:p w:rsidR="006D4343" w:rsidRPr="004050F5" w:rsidRDefault="006D4343" w:rsidP="006D4343">
            <w:pPr>
              <w:rPr>
                <w:rFonts w:ascii="Arial" w:eastAsia="Times New Roman" w:hAnsi="Arial" w:cs="Arial"/>
                <w:color w:val="000000"/>
                <w:sz w:val="21"/>
                <w:szCs w:val="21"/>
                <w:lang w:val="en-US"/>
              </w:rPr>
            </w:pPr>
            <w:r w:rsidRPr="00FB2F42">
              <w:rPr>
                <w:rFonts w:ascii="Arial" w:eastAsia="Times New Roman" w:hAnsi="Arial" w:cs="Arial"/>
                <w:color w:val="000000"/>
                <w:sz w:val="21"/>
                <w:szCs w:val="21"/>
                <w:lang w:val="en-US"/>
              </w:rPr>
              <w:t xml:space="preserve">Increased engagement with women, people with disabilities and ethnic minorities; inform groups how to </w:t>
            </w:r>
            <w:proofErr w:type="spellStart"/>
            <w:r w:rsidRPr="00FB2F42">
              <w:rPr>
                <w:rFonts w:ascii="Arial" w:eastAsia="Times New Roman" w:hAnsi="Arial" w:cs="Arial"/>
                <w:color w:val="000000"/>
                <w:sz w:val="21"/>
                <w:szCs w:val="21"/>
                <w:lang w:val="en-US"/>
              </w:rPr>
              <w:t>utilise</w:t>
            </w:r>
            <w:proofErr w:type="spellEnd"/>
            <w:r w:rsidRPr="00FB2F42">
              <w:rPr>
                <w:rFonts w:ascii="Arial" w:eastAsia="Times New Roman" w:hAnsi="Arial" w:cs="Arial"/>
                <w:color w:val="000000"/>
                <w:sz w:val="21"/>
                <w:szCs w:val="21"/>
                <w:lang w:val="en-US"/>
              </w:rPr>
              <w:t xml:space="preserve"> resources available throug</w:t>
            </w:r>
            <w:r w:rsidR="00D23CE3">
              <w:rPr>
                <w:rFonts w:ascii="Arial" w:eastAsia="Times New Roman" w:hAnsi="Arial" w:cs="Arial"/>
                <w:color w:val="000000"/>
                <w:sz w:val="21"/>
                <w:szCs w:val="21"/>
                <w:lang w:val="en-US"/>
              </w:rPr>
              <w:t>h Assembly Community Connect &amp; p</w:t>
            </w:r>
            <w:r w:rsidRPr="00FB2F42">
              <w:rPr>
                <w:rFonts w:ascii="Arial" w:eastAsia="Times New Roman" w:hAnsi="Arial" w:cs="Arial"/>
                <w:color w:val="000000"/>
                <w:sz w:val="21"/>
                <w:szCs w:val="21"/>
                <w:lang w:val="en-US"/>
              </w:rPr>
              <w:t xml:space="preserve">artner </w:t>
            </w:r>
            <w:proofErr w:type="spellStart"/>
            <w:r w:rsidRPr="00FB2F42">
              <w:rPr>
                <w:rFonts w:ascii="Arial" w:eastAsia="Times New Roman" w:hAnsi="Arial" w:cs="Arial"/>
                <w:color w:val="000000"/>
                <w:sz w:val="21"/>
                <w:szCs w:val="21"/>
                <w:lang w:val="en-US"/>
              </w:rPr>
              <w:t>organisations</w:t>
            </w:r>
            <w:proofErr w:type="spellEnd"/>
          </w:p>
        </w:tc>
        <w:tc>
          <w:tcPr>
            <w:tcW w:w="1982" w:type="dxa"/>
          </w:tcPr>
          <w:p w:rsidR="006D4343" w:rsidRPr="004050F5" w:rsidRDefault="006D434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t>Yes</w:t>
            </w:r>
          </w:p>
        </w:tc>
        <w:tc>
          <w:tcPr>
            <w:tcW w:w="1974" w:type="dxa"/>
          </w:tcPr>
          <w:p w:rsidR="006D4343" w:rsidRPr="004050F5" w:rsidRDefault="006D434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t>Outreach Manager</w:t>
            </w:r>
          </w:p>
        </w:tc>
        <w:tc>
          <w:tcPr>
            <w:tcW w:w="1987" w:type="dxa"/>
          </w:tcPr>
          <w:p w:rsidR="006D4343" w:rsidRPr="004050F5" w:rsidRDefault="006D434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t>Ongoing</w:t>
            </w:r>
          </w:p>
        </w:tc>
      </w:tr>
      <w:tr w:rsidR="006D4343" w:rsidTr="006D4343">
        <w:tc>
          <w:tcPr>
            <w:tcW w:w="2203" w:type="dxa"/>
          </w:tcPr>
          <w:p w:rsidR="006D4343" w:rsidRPr="004050F5" w:rsidRDefault="006D434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t xml:space="preserve">Engagement with young people through Education Service school visits </w:t>
            </w:r>
            <w:proofErr w:type="spellStart"/>
            <w:r>
              <w:rPr>
                <w:rFonts w:ascii="Arial" w:eastAsia="Times New Roman" w:hAnsi="Arial" w:cs="Arial"/>
                <w:color w:val="000000"/>
                <w:sz w:val="21"/>
                <w:szCs w:val="21"/>
                <w:lang w:val="en-US"/>
              </w:rPr>
              <w:t>programme</w:t>
            </w:r>
            <w:proofErr w:type="spellEnd"/>
          </w:p>
        </w:tc>
        <w:tc>
          <w:tcPr>
            <w:tcW w:w="1987" w:type="dxa"/>
          </w:tcPr>
          <w:p w:rsidR="006D4343" w:rsidRPr="004050F5" w:rsidRDefault="006D434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t>Participation</w:t>
            </w:r>
          </w:p>
        </w:tc>
        <w:tc>
          <w:tcPr>
            <w:tcW w:w="1984" w:type="dxa"/>
          </w:tcPr>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Persons of different age</w:t>
            </w:r>
          </w:p>
        </w:tc>
        <w:tc>
          <w:tcPr>
            <w:tcW w:w="2057" w:type="dxa"/>
          </w:tcPr>
          <w:p w:rsidR="006D4343" w:rsidRPr="004050F5" w:rsidRDefault="006D4343" w:rsidP="006D4343">
            <w:pPr>
              <w:rPr>
                <w:rFonts w:ascii="Arial" w:eastAsia="Times New Roman" w:hAnsi="Arial" w:cs="Arial"/>
                <w:color w:val="000000"/>
                <w:sz w:val="21"/>
                <w:szCs w:val="21"/>
                <w:lang w:val="en-US"/>
              </w:rPr>
            </w:pPr>
            <w:r w:rsidRPr="002A4477">
              <w:rPr>
                <w:rFonts w:ascii="Arial" w:eastAsia="Times New Roman" w:hAnsi="Arial" w:cs="Arial"/>
                <w:sz w:val="21"/>
                <w:szCs w:val="21"/>
                <w:lang w:val="en-US"/>
              </w:rPr>
              <w:t xml:space="preserve">Education </w:t>
            </w:r>
            <w:proofErr w:type="spellStart"/>
            <w:r w:rsidRPr="002A4477">
              <w:rPr>
                <w:rFonts w:ascii="Arial" w:eastAsia="Times New Roman" w:hAnsi="Arial" w:cs="Arial"/>
                <w:sz w:val="21"/>
                <w:szCs w:val="21"/>
                <w:lang w:val="en-US"/>
              </w:rPr>
              <w:t>Programme</w:t>
            </w:r>
            <w:proofErr w:type="spellEnd"/>
            <w:r w:rsidRPr="002A4477">
              <w:rPr>
                <w:rFonts w:ascii="Arial" w:eastAsia="Times New Roman" w:hAnsi="Arial" w:cs="Arial"/>
                <w:sz w:val="21"/>
                <w:szCs w:val="21"/>
                <w:lang w:val="en-US"/>
              </w:rPr>
              <w:t xml:space="preserve"> and resources provided for young people from Key Stage 1 (age 8) to Key Stage 5 (Post 16)</w:t>
            </w:r>
          </w:p>
        </w:tc>
        <w:tc>
          <w:tcPr>
            <w:tcW w:w="1982" w:type="dxa"/>
          </w:tcPr>
          <w:p w:rsidR="006D4343" w:rsidRPr="004050F5" w:rsidRDefault="006D434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t>Yes</w:t>
            </w:r>
          </w:p>
        </w:tc>
        <w:tc>
          <w:tcPr>
            <w:tcW w:w="1974" w:type="dxa"/>
          </w:tcPr>
          <w:p w:rsidR="006D4343" w:rsidRPr="004050F5" w:rsidRDefault="006D434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t>Education Manager</w:t>
            </w:r>
          </w:p>
        </w:tc>
        <w:tc>
          <w:tcPr>
            <w:tcW w:w="1987" w:type="dxa"/>
          </w:tcPr>
          <w:p w:rsidR="006D4343" w:rsidRPr="004050F5" w:rsidRDefault="006D434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t>Ongoing</w:t>
            </w:r>
          </w:p>
        </w:tc>
      </w:tr>
      <w:tr w:rsidR="006D4343" w:rsidTr="006D4343">
        <w:tc>
          <w:tcPr>
            <w:tcW w:w="2203" w:type="dxa"/>
          </w:tcPr>
          <w:p w:rsidR="006D4343" w:rsidRPr="004050F5" w:rsidRDefault="006D434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t>Engagement with young people through a youth panel</w:t>
            </w:r>
          </w:p>
        </w:tc>
        <w:tc>
          <w:tcPr>
            <w:tcW w:w="1987" w:type="dxa"/>
          </w:tcPr>
          <w:p w:rsidR="006D4343" w:rsidRPr="004050F5" w:rsidRDefault="006D434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t>Participation</w:t>
            </w:r>
          </w:p>
        </w:tc>
        <w:tc>
          <w:tcPr>
            <w:tcW w:w="1984" w:type="dxa"/>
          </w:tcPr>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Persons of different age</w:t>
            </w:r>
          </w:p>
        </w:tc>
        <w:tc>
          <w:tcPr>
            <w:tcW w:w="2057" w:type="dxa"/>
          </w:tcPr>
          <w:p w:rsidR="006D4343" w:rsidRPr="004050F5" w:rsidRDefault="006D4343" w:rsidP="006D4343">
            <w:pPr>
              <w:rPr>
                <w:rFonts w:ascii="Arial" w:eastAsia="Times New Roman" w:hAnsi="Arial" w:cs="Arial"/>
                <w:color w:val="000000"/>
                <w:sz w:val="21"/>
                <w:szCs w:val="21"/>
                <w:lang w:val="en-US"/>
              </w:rPr>
            </w:pPr>
            <w:r w:rsidRPr="00DF765E">
              <w:rPr>
                <w:rFonts w:ascii="Arial" w:eastAsia="Times New Roman" w:hAnsi="Arial" w:cs="Arial"/>
                <w:sz w:val="21"/>
                <w:szCs w:val="21"/>
                <w:lang w:val="en-US"/>
              </w:rPr>
              <w:t xml:space="preserve">To involve 30 young people aged 16-18 in a year long, youth driven project to develop proposals for a </w:t>
            </w:r>
            <w:r w:rsidRPr="00DF765E">
              <w:rPr>
                <w:rFonts w:ascii="Arial" w:eastAsia="Times New Roman" w:hAnsi="Arial" w:cs="Arial"/>
                <w:sz w:val="21"/>
                <w:szCs w:val="21"/>
                <w:lang w:val="en-US"/>
              </w:rPr>
              <w:lastRenderedPageBreak/>
              <w:t>youth assembly – March 2010 -March 2011</w:t>
            </w:r>
            <w:r>
              <w:rPr>
                <w:rFonts w:ascii="Arial" w:eastAsia="Times New Roman" w:hAnsi="Arial" w:cs="Arial"/>
                <w:sz w:val="21"/>
                <w:szCs w:val="21"/>
                <w:lang w:val="en-US"/>
              </w:rPr>
              <w:t>.</w:t>
            </w:r>
          </w:p>
        </w:tc>
        <w:tc>
          <w:tcPr>
            <w:tcW w:w="1982" w:type="dxa"/>
          </w:tcPr>
          <w:p w:rsidR="006D4343" w:rsidRPr="004050F5" w:rsidRDefault="006D434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lastRenderedPageBreak/>
              <w:t>No</w:t>
            </w:r>
          </w:p>
        </w:tc>
        <w:tc>
          <w:tcPr>
            <w:tcW w:w="1974" w:type="dxa"/>
          </w:tcPr>
          <w:p w:rsidR="006D4343" w:rsidRPr="004050F5" w:rsidRDefault="006D4343" w:rsidP="006D4343">
            <w:pPr>
              <w:rPr>
                <w:rFonts w:ascii="Arial" w:eastAsia="Times New Roman" w:hAnsi="Arial" w:cs="Arial"/>
                <w:color w:val="000000"/>
                <w:sz w:val="21"/>
                <w:szCs w:val="21"/>
                <w:lang w:val="en-US"/>
              </w:rPr>
            </w:pPr>
            <w:r w:rsidRPr="00DF765E">
              <w:rPr>
                <w:rFonts w:ascii="Arial" w:eastAsia="Times New Roman" w:hAnsi="Arial" w:cs="Arial"/>
                <w:sz w:val="21"/>
                <w:szCs w:val="21"/>
                <w:lang w:val="en-US"/>
              </w:rPr>
              <w:t xml:space="preserve">Education Manager </w:t>
            </w:r>
          </w:p>
        </w:tc>
        <w:tc>
          <w:tcPr>
            <w:tcW w:w="1987" w:type="dxa"/>
          </w:tcPr>
          <w:p w:rsidR="006D4343" w:rsidRPr="004050F5" w:rsidRDefault="006D4343" w:rsidP="006D4343">
            <w:pPr>
              <w:rPr>
                <w:rFonts w:ascii="Arial" w:eastAsia="Times New Roman" w:hAnsi="Arial" w:cs="Arial"/>
                <w:color w:val="000000"/>
                <w:sz w:val="21"/>
                <w:szCs w:val="21"/>
                <w:lang w:val="en-US"/>
              </w:rPr>
            </w:pPr>
            <w:r w:rsidRPr="00DF765E">
              <w:rPr>
                <w:rFonts w:ascii="Arial" w:eastAsia="Times New Roman" w:hAnsi="Arial" w:cs="Arial"/>
                <w:sz w:val="21"/>
                <w:szCs w:val="21"/>
                <w:lang w:val="en-US"/>
              </w:rPr>
              <w:t xml:space="preserve">Substantial engagement completed by end December 2012. Since then, occasional </w:t>
            </w:r>
            <w:r w:rsidRPr="00DF765E">
              <w:rPr>
                <w:rFonts w:ascii="Arial" w:eastAsia="Times New Roman" w:hAnsi="Arial" w:cs="Arial"/>
                <w:sz w:val="21"/>
                <w:szCs w:val="21"/>
                <w:lang w:val="en-US"/>
              </w:rPr>
              <w:lastRenderedPageBreak/>
              <w:t>correspondence to update on Assembly’s Youth Assembly project.</w:t>
            </w:r>
          </w:p>
        </w:tc>
      </w:tr>
      <w:tr w:rsidR="006D4343" w:rsidTr="006D4343">
        <w:tc>
          <w:tcPr>
            <w:tcW w:w="2203" w:type="dxa"/>
          </w:tcPr>
          <w:p w:rsidR="006D4343" w:rsidRPr="004050F5" w:rsidRDefault="006D434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lastRenderedPageBreak/>
              <w:t xml:space="preserve">Development of Secretariat </w:t>
            </w:r>
            <w:r w:rsidRPr="004050F5">
              <w:rPr>
                <w:rFonts w:ascii="Arial" w:eastAsia="Times New Roman" w:hAnsi="Arial" w:cs="Arial"/>
                <w:color w:val="000000"/>
                <w:sz w:val="21"/>
                <w:szCs w:val="21"/>
                <w:lang w:val="en-US"/>
              </w:rPr>
              <w:t>Gender Action Plan</w:t>
            </w:r>
          </w:p>
        </w:tc>
        <w:tc>
          <w:tcPr>
            <w:tcW w:w="1987" w:type="dxa"/>
          </w:tcPr>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Recruitment and Selection</w:t>
            </w:r>
          </w:p>
          <w:p w:rsidR="006D4343" w:rsidRPr="004050F5" w:rsidRDefault="006D4343" w:rsidP="006D4343">
            <w:pPr>
              <w:rPr>
                <w:rFonts w:ascii="Arial" w:eastAsia="Times New Roman" w:hAnsi="Arial" w:cs="Arial"/>
                <w:color w:val="000000"/>
                <w:sz w:val="21"/>
                <w:szCs w:val="21"/>
                <w:lang w:val="en-US"/>
              </w:rPr>
            </w:pPr>
          </w:p>
          <w:p w:rsidR="006D4343" w:rsidRPr="004050F5" w:rsidRDefault="00D23CE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t>Equality i</w:t>
            </w:r>
            <w:r w:rsidR="006D4343" w:rsidRPr="004050F5">
              <w:rPr>
                <w:rFonts w:ascii="Arial" w:eastAsia="Times New Roman" w:hAnsi="Arial" w:cs="Arial"/>
                <w:color w:val="000000"/>
                <w:sz w:val="21"/>
                <w:szCs w:val="21"/>
                <w:lang w:val="en-US"/>
              </w:rPr>
              <w:t>ssues f</w:t>
            </w:r>
            <w:r>
              <w:rPr>
                <w:rFonts w:ascii="Arial" w:eastAsia="Times New Roman" w:hAnsi="Arial" w:cs="Arial"/>
                <w:color w:val="000000"/>
                <w:sz w:val="21"/>
                <w:szCs w:val="21"/>
                <w:lang w:val="en-US"/>
              </w:rPr>
              <w:t>or existing s</w:t>
            </w:r>
            <w:r w:rsidR="006D4343" w:rsidRPr="004050F5">
              <w:rPr>
                <w:rFonts w:ascii="Arial" w:eastAsia="Times New Roman" w:hAnsi="Arial" w:cs="Arial"/>
                <w:color w:val="000000"/>
                <w:sz w:val="21"/>
                <w:szCs w:val="21"/>
                <w:lang w:val="en-US"/>
              </w:rPr>
              <w:t>taff</w:t>
            </w:r>
          </w:p>
        </w:tc>
        <w:tc>
          <w:tcPr>
            <w:tcW w:w="1984" w:type="dxa"/>
          </w:tcPr>
          <w:p w:rsidR="006D4343" w:rsidRPr="004050F5" w:rsidRDefault="006D4343" w:rsidP="006D4343">
            <w:pPr>
              <w:rPr>
                <w:rFonts w:ascii="Arial" w:eastAsia="Times New Roman" w:hAnsi="Arial" w:cs="Arial"/>
                <w:color w:val="000000"/>
                <w:sz w:val="21"/>
                <w:szCs w:val="21"/>
                <w:lang w:val="en-US"/>
              </w:rPr>
            </w:pPr>
            <w:r w:rsidRPr="004050F5">
              <w:rPr>
                <w:rFonts w:ascii="Arial" w:eastAsia="Times New Roman" w:hAnsi="Arial" w:cs="Arial"/>
                <w:color w:val="000000"/>
                <w:sz w:val="21"/>
                <w:szCs w:val="21"/>
                <w:lang w:val="en-US"/>
              </w:rPr>
              <w:t>Men and women generally</w:t>
            </w:r>
          </w:p>
        </w:tc>
        <w:tc>
          <w:tcPr>
            <w:tcW w:w="2057" w:type="dxa"/>
          </w:tcPr>
          <w:p w:rsidR="006D4343" w:rsidRPr="004050F5" w:rsidRDefault="006D434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t>The removal of any actual or perceived barriers to gender equality within the secretariat through the production and implementation of a gender action plan.</w:t>
            </w:r>
          </w:p>
        </w:tc>
        <w:tc>
          <w:tcPr>
            <w:tcW w:w="1982" w:type="dxa"/>
          </w:tcPr>
          <w:p w:rsidR="006D4343" w:rsidRPr="004050F5" w:rsidRDefault="006D434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t>Yes</w:t>
            </w:r>
          </w:p>
        </w:tc>
        <w:tc>
          <w:tcPr>
            <w:tcW w:w="1974" w:type="dxa"/>
          </w:tcPr>
          <w:p w:rsidR="006D4343" w:rsidRPr="004050F5" w:rsidRDefault="006D434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t>Equality Manager</w:t>
            </w:r>
          </w:p>
        </w:tc>
        <w:tc>
          <w:tcPr>
            <w:tcW w:w="1987" w:type="dxa"/>
          </w:tcPr>
          <w:p w:rsidR="006D4343" w:rsidRPr="004050F5" w:rsidRDefault="006D4343" w:rsidP="006D4343">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t>January 2016</w:t>
            </w:r>
          </w:p>
        </w:tc>
      </w:tr>
    </w:tbl>
    <w:p w:rsidR="006D4343" w:rsidRDefault="006D4343" w:rsidP="006D4343">
      <w:pPr>
        <w:rPr>
          <w:rFonts w:ascii="Arial" w:hAnsi="Arial" w:cs="Arial"/>
          <w:b/>
          <w:bCs/>
          <w:sz w:val="28"/>
          <w:szCs w:val="28"/>
          <w:lang w:val="en-US"/>
        </w:rPr>
      </w:pPr>
      <w:r>
        <w:rPr>
          <w:rFonts w:ascii="Arial" w:hAnsi="Arial" w:cs="Arial"/>
          <w:b/>
          <w:bCs/>
          <w:sz w:val="28"/>
          <w:szCs w:val="28"/>
          <w:lang w:val="en-US"/>
        </w:rPr>
        <w:t xml:space="preserve">Revised/additional actions recorded within the monitoring period </w:t>
      </w:r>
    </w:p>
    <w:tbl>
      <w:tblPr>
        <w:tblW w:w="14567" w:type="dxa"/>
        <w:tblCellMar>
          <w:left w:w="0" w:type="dxa"/>
          <w:right w:w="0" w:type="dxa"/>
        </w:tblCellMar>
        <w:tblLook w:val="04A0" w:firstRow="1" w:lastRow="0" w:firstColumn="1" w:lastColumn="0" w:noHBand="0" w:noVBand="1"/>
      </w:tblPr>
      <w:tblGrid>
        <w:gridCol w:w="2585"/>
        <w:gridCol w:w="2631"/>
        <w:gridCol w:w="2917"/>
        <w:gridCol w:w="1417"/>
        <w:gridCol w:w="5017"/>
      </w:tblGrid>
      <w:tr w:rsidR="006D4343" w:rsidTr="006D4343">
        <w:tc>
          <w:tcPr>
            <w:tcW w:w="2585"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rsidR="006D4343" w:rsidRPr="006D4343" w:rsidRDefault="006D4343" w:rsidP="006D4343">
            <w:pPr>
              <w:rPr>
                <w:rFonts w:ascii="Arial" w:hAnsi="Arial" w:cs="Arial"/>
                <w:b/>
                <w:bCs/>
                <w:sz w:val="20"/>
                <w:szCs w:val="20"/>
                <w:lang w:val="en-US"/>
              </w:rPr>
            </w:pPr>
            <w:r w:rsidRPr="006D4343">
              <w:rPr>
                <w:rFonts w:ascii="Arial" w:hAnsi="Arial" w:cs="Arial"/>
                <w:b/>
                <w:bCs/>
                <w:sz w:val="20"/>
                <w:szCs w:val="20"/>
                <w:lang w:val="en-US"/>
              </w:rPr>
              <w:t>Action</w:t>
            </w:r>
          </w:p>
        </w:tc>
        <w:tc>
          <w:tcPr>
            <w:tcW w:w="2631"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6D4343" w:rsidRPr="006D4343" w:rsidRDefault="006D4343" w:rsidP="006D4343">
            <w:pPr>
              <w:rPr>
                <w:rFonts w:ascii="Arial" w:hAnsi="Arial" w:cs="Arial"/>
                <w:b/>
                <w:bCs/>
                <w:sz w:val="20"/>
                <w:szCs w:val="20"/>
                <w:lang w:val="en-US"/>
              </w:rPr>
            </w:pPr>
            <w:r w:rsidRPr="006D4343">
              <w:rPr>
                <w:rFonts w:ascii="Arial" w:hAnsi="Arial" w:cs="Arial"/>
                <w:b/>
                <w:bCs/>
                <w:sz w:val="20"/>
                <w:szCs w:val="20"/>
                <w:lang w:val="en-US"/>
              </w:rPr>
              <w:t>Directorate</w:t>
            </w:r>
          </w:p>
        </w:tc>
        <w:tc>
          <w:tcPr>
            <w:tcW w:w="291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6D4343" w:rsidRPr="006D4343" w:rsidRDefault="006D4343" w:rsidP="006D4343">
            <w:pPr>
              <w:rPr>
                <w:rFonts w:ascii="Arial" w:hAnsi="Arial" w:cs="Arial"/>
                <w:b/>
                <w:bCs/>
                <w:sz w:val="20"/>
                <w:szCs w:val="20"/>
                <w:lang w:val="en-US"/>
              </w:rPr>
            </w:pPr>
            <w:r w:rsidRPr="006D4343">
              <w:rPr>
                <w:rFonts w:ascii="Arial" w:hAnsi="Arial" w:cs="Arial"/>
                <w:b/>
                <w:bCs/>
                <w:sz w:val="20"/>
                <w:szCs w:val="20"/>
                <w:lang w:val="en-US"/>
              </w:rPr>
              <w:t>Outcome</w:t>
            </w:r>
          </w:p>
        </w:tc>
        <w:tc>
          <w:tcPr>
            <w:tcW w:w="141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6D4343" w:rsidRPr="006D4343" w:rsidRDefault="006D4343" w:rsidP="006D4343">
            <w:pPr>
              <w:rPr>
                <w:rFonts w:ascii="Arial" w:hAnsi="Arial" w:cs="Arial"/>
                <w:b/>
                <w:bCs/>
                <w:sz w:val="20"/>
                <w:szCs w:val="20"/>
                <w:lang w:val="en-US"/>
              </w:rPr>
            </w:pPr>
            <w:r w:rsidRPr="006D4343">
              <w:rPr>
                <w:rFonts w:ascii="Arial" w:hAnsi="Arial" w:cs="Arial"/>
                <w:b/>
                <w:bCs/>
                <w:sz w:val="20"/>
                <w:szCs w:val="20"/>
                <w:lang w:val="en-US"/>
              </w:rPr>
              <w:t>Date</w:t>
            </w:r>
          </w:p>
        </w:tc>
        <w:tc>
          <w:tcPr>
            <w:tcW w:w="501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6D4343" w:rsidRPr="006D4343" w:rsidRDefault="006D4343" w:rsidP="006D4343">
            <w:pPr>
              <w:rPr>
                <w:rFonts w:ascii="Arial" w:hAnsi="Arial" w:cs="Arial"/>
                <w:b/>
                <w:bCs/>
                <w:sz w:val="20"/>
                <w:szCs w:val="20"/>
                <w:lang w:val="en-US"/>
              </w:rPr>
            </w:pPr>
            <w:r w:rsidRPr="006D4343">
              <w:rPr>
                <w:rFonts w:ascii="Arial" w:hAnsi="Arial" w:cs="Arial"/>
                <w:b/>
                <w:bCs/>
                <w:sz w:val="20"/>
                <w:szCs w:val="20"/>
                <w:lang w:val="en-US"/>
              </w:rPr>
              <w:t>Updated position as at March 2015</w:t>
            </w:r>
          </w:p>
        </w:tc>
      </w:tr>
      <w:tr w:rsidR="006D4343" w:rsidTr="006D4343">
        <w:tc>
          <w:tcPr>
            <w:tcW w:w="2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4343" w:rsidRDefault="006D4343" w:rsidP="006D4343">
            <w:pPr>
              <w:rPr>
                <w:rFonts w:ascii="Arial" w:hAnsi="Arial" w:cs="Arial"/>
                <w:sz w:val="20"/>
                <w:szCs w:val="20"/>
                <w:lang w:val="en-US"/>
              </w:rPr>
            </w:pPr>
            <w:r w:rsidRPr="006D66C0">
              <w:rPr>
                <w:rFonts w:ascii="Arial" w:hAnsi="Arial" w:cs="Arial"/>
                <w:sz w:val="20"/>
                <w:szCs w:val="20"/>
                <w:lang w:val="en-US"/>
              </w:rPr>
              <w:t>The Assembly focuses on engagement with young people, including disenfranchised groups</w:t>
            </w:r>
          </w:p>
        </w:tc>
        <w:tc>
          <w:tcPr>
            <w:tcW w:w="2631" w:type="dxa"/>
            <w:tcBorders>
              <w:top w:val="nil"/>
              <w:left w:val="nil"/>
              <w:bottom w:val="single" w:sz="8" w:space="0" w:color="auto"/>
              <w:right w:val="single" w:sz="8" w:space="0" w:color="auto"/>
            </w:tcBorders>
            <w:tcMar>
              <w:top w:w="0" w:type="dxa"/>
              <w:left w:w="108" w:type="dxa"/>
              <w:bottom w:w="0" w:type="dxa"/>
              <w:right w:w="108" w:type="dxa"/>
            </w:tcMar>
            <w:hideMark/>
          </w:tcPr>
          <w:p w:rsidR="006D4343" w:rsidRPr="006D66C0" w:rsidRDefault="006D4343" w:rsidP="006D4343">
            <w:pPr>
              <w:rPr>
                <w:rFonts w:ascii="Arial" w:hAnsi="Arial" w:cs="Arial"/>
                <w:sz w:val="20"/>
                <w:szCs w:val="20"/>
                <w:lang w:val="en-US"/>
              </w:rPr>
            </w:pPr>
            <w:r w:rsidRPr="006D66C0">
              <w:rPr>
                <w:rFonts w:ascii="Arial" w:hAnsi="Arial" w:cs="Arial"/>
                <w:sz w:val="20"/>
                <w:szCs w:val="20"/>
                <w:lang w:val="en-US"/>
              </w:rPr>
              <w:t>Information and Outreach</w:t>
            </w:r>
          </w:p>
        </w:tc>
        <w:tc>
          <w:tcPr>
            <w:tcW w:w="2917" w:type="dxa"/>
            <w:tcBorders>
              <w:top w:val="nil"/>
              <w:left w:val="nil"/>
              <w:bottom w:val="single" w:sz="8" w:space="0" w:color="auto"/>
              <w:right w:val="single" w:sz="8" w:space="0" w:color="auto"/>
            </w:tcBorders>
            <w:tcMar>
              <w:top w:w="0" w:type="dxa"/>
              <w:left w:w="108" w:type="dxa"/>
              <w:bottom w:w="0" w:type="dxa"/>
              <w:right w:w="108" w:type="dxa"/>
            </w:tcMar>
            <w:hideMark/>
          </w:tcPr>
          <w:p w:rsidR="006D4343" w:rsidRPr="006D66C0" w:rsidRDefault="006D4343" w:rsidP="006D4343">
            <w:pPr>
              <w:rPr>
                <w:rFonts w:ascii="Arial" w:hAnsi="Arial" w:cs="Arial"/>
                <w:sz w:val="20"/>
                <w:szCs w:val="20"/>
                <w:lang w:val="en-US"/>
              </w:rPr>
            </w:pPr>
            <w:r w:rsidRPr="006D66C0">
              <w:rPr>
                <w:rFonts w:ascii="Arial" w:hAnsi="Arial" w:cs="Arial"/>
                <w:sz w:val="20"/>
                <w:szCs w:val="20"/>
                <w:lang w:val="en-US"/>
              </w:rPr>
              <w:t xml:space="preserve">‘Structured Dialogue’ Project – a report will be produced by 36 young people about an issue concerning young people. The inquiry process will involve participants consulting young people, MLAs and other stakeholders and reporting their findings to an assembly committee. The opportunity to get involved will be advertised widely.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6D4343" w:rsidRDefault="006D4343" w:rsidP="006D4343">
            <w:pPr>
              <w:rPr>
                <w:rFonts w:ascii="Arial" w:hAnsi="Arial" w:cs="Arial"/>
                <w:sz w:val="20"/>
                <w:szCs w:val="20"/>
                <w:lang w:val="en-US"/>
              </w:rPr>
            </w:pPr>
          </w:p>
        </w:tc>
        <w:tc>
          <w:tcPr>
            <w:tcW w:w="5017" w:type="dxa"/>
            <w:tcBorders>
              <w:top w:val="nil"/>
              <w:left w:val="nil"/>
              <w:bottom w:val="single" w:sz="8" w:space="0" w:color="auto"/>
              <w:right w:val="single" w:sz="8" w:space="0" w:color="auto"/>
            </w:tcBorders>
            <w:tcMar>
              <w:top w:w="0" w:type="dxa"/>
              <w:left w:w="108" w:type="dxa"/>
              <w:bottom w:w="0" w:type="dxa"/>
              <w:right w:w="108" w:type="dxa"/>
            </w:tcMar>
          </w:tcPr>
          <w:p w:rsidR="006D4343" w:rsidRDefault="006D4343" w:rsidP="006D4343">
            <w:pPr>
              <w:rPr>
                <w:rFonts w:ascii="Arial" w:hAnsi="Arial" w:cs="Arial"/>
                <w:sz w:val="20"/>
                <w:szCs w:val="20"/>
                <w:lang w:val="en-US"/>
              </w:rPr>
            </w:pPr>
            <w:r>
              <w:rPr>
                <w:rFonts w:ascii="Arial" w:hAnsi="Arial" w:cs="Arial"/>
                <w:sz w:val="20"/>
                <w:szCs w:val="20"/>
                <w:lang w:val="en-US"/>
              </w:rPr>
              <w:t>The project, called ‘Connections’ is being funded by Erasmus+. Participants will be recruited in April 2015 and training will take place in May and June 2015, with inquiry activities planned from August onwards. The report will be presented to an Assembly Committee by end January 2016. The aim is that half of the young people involved will be from backgrounds which may traditionally have made their participation difficult e.g.  Due to socio-economic background or disability.</w:t>
            </w:r>
          </w:p>
          <w:p w:rsidR="006D4343" w:rsidRDefault="006D4343" w:rsidP="006D4343">
            <w:pPr>
              <w:rPr>
                <w:rFonts w:ascii="Arial" w:hAnsi="Arial" w:cs="Arial"/>
                <w:sz w:val="20"/>
                <w:szCs w:val="20"/>
                <w:lang w:val="en-US"/>
              </w:rPr>
            </w:pPr>
          </w:p>
        </w:tc>
      </w:tr>
    </w:tbl>
    <w:p w:rsidR="006D4343" w:rsidRDefault="006D4343" w:rsidP="00BA2078">
      <w:pPr>
        <w:rPr>
          <w:sz w:val="24"/>
          <w:szCs w:val="24"/>
        </w:rPr>
      </w:pPr>
    </w:p>
    <w:p w:rsidR="006D4343" w:rsidRPr="006A2CD9" w:rsidRDefault="006D4343" w:rsidP="006D4343">
      <w:pPr>
        <w:jc w:val="center"/>
        <w:rPr>
          <w:rFonts w:ascii="Arial" w:hAnsi="Arial" w:cs="Arial"/>
          <w:b/>
          <w:sz w:val="32"/>
          <w:szCs w:val="32"/>
        </w:rPr>
      </w:pPr>
      <w:r w:rsidRPr="006A2CD9">
        <w:rPr>
          <w:rFonts w:ascii="Arial" w:hAnsi="Arial" w:cs="Arial"/>
          <w:b/>
          <w:sz w:val="32"/>
          <w:szCs w:val="32"/>
        </w:rPr>
        <w:lastRenderedPageBreak/>
        <w:t>Northern Ireland Assembly Equality Action Plan</w:t>
      </w:r>
    </w:p>
    <w:p w:rsidR="006D4343" w:rsidRPr="006A2CD9" w:rsidRDefault="006D4343" w:rsidP="006D4343">
      <w:pPr>
        <w:jc w:val="center"/>
        <w:rPr>
          <w:rFonts w:ascii="Arial" w:hAnsi="Arial" w:cs="Arial"/>
          <w:b/>
          <w:sz w:val="32"/>
          <w:szCs w:val="32"/>
        </w:rPr>
      </w:pPr>
      <w:r w:rsidRPr="006A2CD9">
        <w:rPr>
          <w:rFonts w:ascii="Arial" w:hAnsi="Arial" w:cs="Arial"/>
          <w:b/>
          <w:sz w:val="32"/>
          <w:szCs w:val="32"/>
        </w:rPr>
        <w:t>Completed Actions (2012-2014)</w:t>
      </w:r>
    </w:p>
    <w:p w:rsidR="006D4343" w:rsidRPr="006A2CD9" w:rsidRDefault="006D4343" w:rsidP="006D4343">
      <w:pPr>
        <w:rPr>
          <w:rFonts w:ascii="Arial" w:hAnsi="Arial" w:cs="Arial"/>
          <w:sz w:val="28"/>
          <w:szCs w:val="28"/>
        </w:rPr>
      </w:pPr>
      <w:r w:rsidRPr="006A2CD9">
        <w:rPr>
          <w:rFonts w:ascii="Arial" w:hAnsi="Arial" w:cs="Arial"/>
          <w:sz w:val="28"/>
          <w:szCs w:val="28"/>
        </w:rPr>
        <w:t xml:space="preserve">Function One: The acquisition and maintenance of premises and equipment to provide suitable accommodation, facilities and support services in which a fully functioning Assembly can operate. </w:t>
      </w:r>
    </w:p>
    <w:tbl>
      <w:tblPr>
        <w:tblStyle w:val="TableGrid"/>
        <w:tblW w:w="0" w:type="auto"/>
        <w:tblLook w:val="04A0" w:firstRow="1" w:lastRow="0" w:firstColumn="1" w:lastColumn="0" w:noHBand="0" w:noVBand="1"/>
      </w:tblPr>
      <w:tblGrid>
        <w:gridCol w:w="2196"/>
        <w:gridCol w:w="2196"/>
        <w:gridCol w:w="2196"/>
        <w:gridCol w:w="2196"/>
        <w:gridCol w:w="2196"/>
        <w:gridCol w:w="2196"/>
      </w:tblGrid>
      <w:tr w:rsidR="006D4343" w:rsidRPr="006D4343" w:rsidTr="006D4343">
        <w:trPr>
          <w:tblHeader/>
        </w:trPr>
        <w:tc>
          <w:tcPr>
            <w:tcW w:w="2196" w:type="dxa"/>
          </w:tcPr>
          <w:p w:rsidR="006D4343" w:rsidRPr="006D4343" w:rsidRDefault="006D4343" w:rsidP="006D4343">
            <w:pPr>
              <w:rPr>
                <w:rFonts w:ascii="Arial" w:hAnsi="Arial" w:cs="Arial"/>
                <w:b/>
                <w:sz w:val="28"/>
                <w:szCs w:val="28"/>
              </w:rPr>
            </w:pPr>
            <w:r w:rsidRPr="006D4343">
              <w:rPr>
                <w:rFonts w:ascii="Arial" w:hAnsi="Arial" w:cs="Arial"/>
                <w:b/>
                <w:sz w:val="28"/>
                <w:szCs w:val="28"/>
              </w:rPr>
              <w:t>Inequality Identified</w:t>
            </w:r>
          </w:p>
        </w:tc>
        <w:tc>
          <w:tcPr>
            <w:tcW w:w="2196" w:type="dxa"/>
          </w:tcPr>
          <w:p w:rsidR="006D4343" w:rsidRPr="006D4343" w:rsidRDefault="006D4343" w:rsidP="006D4343">
            <w:pPr>
              <w:rPr>
                <w:rFonts w:ascii="Arial" w:hAnsi="Arial" w:cs="Arial"/>
                <w:b/>
                <w:sz w:val="28"/>
                <w:szCs w:val="28"/>
              </w:rPr>
            </w:pPr>
            <w:r w:rsidRPr="006D4343">
              <w:rPr>
                <w:rFonts w:ascii="Arial" w:hAnsi="Arial" w:cs="Arial"/>
                <w:b/>
                <w:sz w:val="28"/>
                <w:szCs w:val="28"/>
              </w:rPr>
              <w:t>Section 75 Categories</w:t>
            </w:r>
          </w:p>
        </w:tc>
        <w:tc>
          <w:tcPr>
            <w:tcW w:w="2196" w:type="dxa"/>
          </w:tcPr>
          <w:p w:rsidR="006D4343" w:rsidRPr="006D4343" w:rsidRDefault="006D4343" w:rsidP="006D4343">
            <w:pPr>
              <w:rPr>
                <w:rFonts w:ascii="Arial" w:hAnsi="Arial" w:cs="Arial"/>
                <w:b/>
                <w:sz w:val="28"/>
                <w:szCs w:val="28"/>
              </w:rPr>
            </w:pPr>
            <w:r w:rsidRPr="006D4343">
              <w:rPr>
                <w:rFonts w:ascii="Arial" w:hAnsi="Arial" w:cs="Arial"/>
                <w:b/>
                <w:sz w:val="28"/>
                <w:szCs w:val="28"/>
              </w:rPr>
              <w:t>Performance Indicators</w:t>
            </w:r>
          </w:p>
        </w:tc>
        <w:tc>
          <w:tcPr>
            <w:tcW w:w="2196" w:type="dxa"/>
          </w:tcPr>
          <w:p w:rsidR="006D4343" w:rsidRPr="006D4343" w:rsidRDefault="006D4343" w:rsidP="006D4343">
            <w:pPr>
              <w:rPr>
                <w:rFonts w:ascii="Arial" w:hAnsi="Arial" w:cs="Arial"/>
                <w:b/>
                <w:sz w:val="28"/>
                <w:szCs w:val="28"/>
              </w:rPr>
            </w:pPr>
            <w:r w:rsidRPr="006D4343">
              <w:rPr>
                <w:rFonts w:ascii="Arial" w:hAnsi="Arial" w:cs="Arial"/>
                <w:b/>
                <w:sz w:val="28"/>
                <w:szCs w:val="28"/>
              </w:rPr>
              <w:t>Action Measures</w:t>
            </w:r>
          </w:p>
        </w:tc>
        <w:tc>
          <w:tcPr>
            <w:tcW w:w="2196" w:type="dxa"/>
          </w:tcPr>
          <w:p w:rsidR="006D4343" w:rsidRPr="006D4343" w:rsidRDefault="006D4343" w:rsidP="006D4343">
            <w:pPr>
              <w:rPr>
                <w:rFonts w:ascii="Arial" w:hAnsi="Arial" w:cs="Arial"/>
                <w:b/>
                <w:sz w:val="28"/>
                <w:szCs w:val="28"/>
              </w:rPr>
            </w:pPr>
            <w:r w:rsidRPr="006D4343">
              <w:rPr>
                <w:rFonts w:ascii="Arial" w:hAnsi="Arial" w:cs="Arial"/>
                <w:b/>
                <w:sz w:val="28"/>
                <w:szCs w:val="28"/>
              </w:rPr>
              <w:t xml:space="preserve">Lead Responsibility </w:t>
            </w:r>
          </w:p>
        </w:tc>
        <w:tc>
          <w:tcPr>
            <w:tcW w:w="2196" w:type="dxa"/>
          </w:tcPr>
          <w:p w:rsidR="006D4343" w:rsidRPr="006D4343" w:rsidRDefault="006D4343" w:rsidP="006D4343">
            <w:pPr>
              <w:rPr>
                <w:rFonts w:ascii="Arial" w:hAnsi="Arial" w:cs="Arial"/>
                <w:b/>
                <w:sz w:val="28"/>
                <w:szCs w:val="28"/>
              </w:rPr>
            </w:pPr>
            <w:r w:rsidRPr="006D4343">
              <w:rPr>
                <w:rFonts w:ascii="Arial" w:hAnsi="Arial" w:cs="Arial"/>
                <w:b/>
                <w:sz w:val="28"/>
                <w:szCs w:val="28"/>
              </w:rPr>
              <w:t>Timescale</w:t>
            </w:r>
          </w:p>
        </w:tc>
      </w:tr>
      <w:tr w:rsidR="006D4343" w:rsidRPr="006A2CD9" w:rsidTr="006D4343">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Access to Parliament Buildings (Theme 1a of the 2011 Audit of Inequalities)</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People with disabilities</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Improved facilities for partially sighted visitors </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Colour contrast materials in toilet facilities </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Facilities Manager </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2012 Complete</w:t>
            </w:r>
          </w:p>
        </w:tc>
      </w:tr>
      <w:tr w:rsidR="006D4343" w:rsidRPr="006A2CD9" w:rsidTr="006D4343">
        <w:tc>
          <w:tcPr>
            <w:tcW w:w="2196" w:type="dxa"/>
          </w:tcPr>
          <w:p w:rsidR="006D4343" w:rsidRPr="006A2CD9" w:rsidRDefault="006D4343" w:rsidP="006D4343">
            <w:pPr>
              <w:rPr>
                <w:rFonts w:ascii="Arial" w:hAnsi="Arial" w:cs="Arial"/>
                <w:sz w:val="21"/>
                <w:szCs w:val="21"/>
              </w:rPr>
            </w:pP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People with disabilities</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Access through the front door for all persons</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Install an electronic opening device at the front door to allow for disabled access</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Facilities Manager </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2012 complete</w:t>
            </w:r>
          </w:p>
        </w:tc>
      </w:tr>
      <w:tr w:rsidR="006D4343" w:rsidRPr="006A2CD9" w:rsidTr="006D4343">
        <w:tc>
          <w:tcPr>
            <w:tcW w:w="2196" w:type="dxa"/>
          </w:tcPr>
          <w:p w:rsidR="006D4343" w:rsidRPr="006A2CD9" w:rsidRDefault="006D4343" w:rsidP="006D4343">
            <w:pPr>
              <w:rPr>
                <w:rFonts w:ascii="Arial" w:hAnsi="Arial" w:cs="Arial"/>
                <w:sz w:val="21"/>
                <w:szCs w:val="21"/>
              </w:rPr>
            </w:pP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People with disabilities </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A Changing Places facility to be installed at the ground floor level</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A fully equipped Changing Places facility to be installed for people with severe physical disabilities  </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Facilities manager </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Complete</w:t>
            </w:r>
          </w:p>
        </w:tc>
      </w:tr>
      <w:tr w:rsidR="006D4343" w:rsidRPr="006A2CD9" w:rsidTr="006D4343">
        <w:tc>
          <w:tcPr>
            <w:tcW w:w="2196" w:type="dxa"/>
          </w:tcPr>
          <w:p w:rsidR="006D4343" w:rsidRPr="006A2CD9" w:rsidRDefault="006D4343" w:rsidP="006D4343">
            <w:pPr>
              <w:rPr>
                <w:rFonts w:ascii="Arial" w:hAnsi="Arial" w:cs="Arial"/>
                <w:sz w:val="21"/>
                <w:szCs w:val="21"/>
              </w:rPr>
            </w:pP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People with disabilities</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Improved facilities for partially sighted visitors</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Improved blistered and corduroy paving</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Facilities Manager</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2012 Complete </w:t>
            </w:r>
          </w:p>
        </w:tc>
      </w:tr>
      <w:tr w:rsidR="006D4343" w:rsidRPr="006A2CD9" w:rsidTr="006D4343">
        <w:tc>
          <w:tcPr>
            <w:tcW w:w="2196" w:type="dxa"/>
          </w:tcPr>
          <w:p w:rsidR="006D4343" w:rsidRPr="006A2CD9" w:rsidRDefault="006D4343" w:rsidP="006D4343">
            <w:pPr>
              <w:rPr>
                <w:rFonts w:ascii="Arial" w:hAnsi="Arial" w:cs="Arial"/>
                <w:sz w:val="21"/>
                <w:szCs w:val="21"/>
              </w:rPr>
            </w:pPr>
          </w:p>
        </w:tc>
        <w:tc>
          <w:tcPr>
            <w:tcW w:w="2196" w:type="dxa"/>
          </w:tcPr>
          <w:p w:rsidR="006D4343" w:rsidRPr="006A2CD9" w:rsidRDefault="006D4343" w:rsidP="006D4343">
            <w:pPr>
              <w:rPr>
                <w:rFonts w:ascii="Arial" w:hAnsi="Arial" w:cs="Arial"/>
                <w:sz w:val="21"/>
                <w:szCs w:val="21"/>
              </w:rPr>
            </w:pP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Improved facilities for partially sighted visitors</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To provide a braille tour of the building for any visitors </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Facilities manager </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Complete</w:t>
            </w:r>
          </w:p>
        </w:tc>
      </w:tr>
      <w:tr w:rsidR="006D4343" w:rsidRPr="006A2CD9" w:rsidTr="006D4343">
        <w:tc>
          <w:tcPr>
            <w:tcW w:w="2196" w:type="dxa"/>
          </w:tcPr>
          <w:p w:rsidR="006D4343" w:rsidRPr="006A2CD9" w:rsidRDefault="006D4343" w:rsidP="006D4343">
            <w:pPr>
              <w:rPr>
                <w:rFonts w:ascii="Arial" w:hAnsi="Arial" w:cs="Arial"/>
                <w:sz w:val="21"/>
                <w:szCs w:val="21"/>
              </w:rPr>
            </w:pP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People with disabilities </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Improved facilities for people who are hearing impaired </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To work towards </w:t>
            </w:r>
            <w:r w:rsidR="00D23CE3">
              <w:rPr>
                <w:rFonts w:ascii="Arial" w:hAnsi="Arial" w:cs="Arial"/>
                <w:sz w:val="21"/>
                <w:szCs w:val="21"/>
              </w:rPr>
              <w:t>Action on Hearing Loss ‘</w:t>
            </w:r>
            <w:r w:rsidRPr="006A2CD9">
              <w:rPr>
                <w:rFonts w:ascii="Arial" w:hAnsi="Arial" w:cs="Arial"/>
                <w:sz w:val="21"/>
                <w:szCs w:val="21"/>
              </w:rPr>
              <w:t>Louder than Words</w:t>
            </w:r>
            <w:r w:rsidR="00D23CE3">
              <w:rPr>
                <w:rFonts w:ascii="Arial" w:hAnsi="Arial" w:cs="Arial"/>
                <w:sz w:val="21"/>
                <w:szCs w:val="21"/>
              </w:rPr>
              <w:t>’</w:t>
            </w:r>
            <w:r w:rsidRPr="006A2CD9">
              <w:rPr>
                <w:rFonts w:ascii="Arial" w:hAnsi="Arial" w:cs="Arial"/>
                <w:sz w:val="21"/>
                <w:szCs w:val="21"/>
              </w:rPr>
              <w:t xml:space="preserve"> accreditation </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Facilities manager </w:t>
            </w:r>
          </w:p>
        </w:tc>
        <w:tc>
          <w:tcPr>
            <w:tcW w:w="2196" w:type="dxa"/>
          </w:tcPr>
          <w:p w:rsidR="006D4343" w:rsidRDefault="006D4343" w:rsidP="006D4343">
            <w:pPr>
              <w:rPr>
                <w:rFonts w:ascii="Arial" w:hAnsi="Arial" w:cs="Arial"/>
                <w:sz w:val="21"/>
                <w:szCs w:val="21"/>
              </w:rPr>
            </w:pPr>
            <w:r w:rsidRPr="006A2CD9">
              <w:rPr>
                <w:rFonts w:ascii="Arial" w:hAnsi="Arial" w:cs="Arial"/>
                <w:sz w:val="21"/>
                <w:szCs w:val="21"/>
              </w:rPr>
              <w:t xml:space="preserve">Complete – accreditation has been received and is renewed each year </w:t>
            </w:r>
          </w:p>
          <w:p w:rsidR="00F1075A" w:rsidRPr="006A2CD9" w:rsidRDefault="00F1075A" w:rsidP="006D4343">
            <w:pPr>
              <w:rPr>
                <w:rFonts w:ascii="Arial" w:hAnsi="Arial" w:cs="Arial"/>
                <w:sz w:val="21"/>
                <w:szCs w:val="21"/>
              </w:rPr>
            </w:pPr>
          </w:p>
        </w:tc>
      </w:tr>
      <w:tr w:rsidR="006D4343" w:rsidRPr="006A2CD9" w:rsidTr="006D4343">
        <w:tc>
          <w:tcPr>
            <w:tcW w:w="2196" w:type="dxa"/>
          </w:tcPr>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People with disabilities </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Improved facilities for people who are hearing impaired </w:t>
            </w:r>
          </w:p>
        </w:tc>
        <w:tc>
          <w:tcPr>
            <w:tcW w:w="2196" w:type="dxa"/>
          </w:tcPr>
          <w:p w:rsidR="006D4343" w:rsidRPr="006A2CD9" w:rsidRDefault="00D23CE3" w:rsidP="006D4343">
            <w:pPr>
              <w:rPr>
                <w:rFonts w:ascii="Arial" w:hAnsi="Arial" w:cs="Arial"/>
                <w:sz w:val="21"/>
                <w:szCs w:val="21"/>
              </w:rPr>
            </w:pPr>
            <w:r>
              <w:rPr>
                <w:rFonts w:ascii="Arial" w:hAnsi="Arial" w:cs="Arial"/>
                <w:sz w:val="21"/>
                <w:szCs w:val="21"/>
              </w:rPr>
              <w:t>To provide a signed tour of P</w:t>
            </w:r>
            <w:r w:rsidR="006D4343" w:rsidRPr="006A2CD9">
              <w:rPr>
                <w:rFonts w:ascii="Arial" w:hAnsi="Arial" w:cs="Arial"/>
                <w:sz w:val="21"/>
                <w:szCs w:val="21"/>
              </w:rPr>
              <w:t xml:space="preserve">arliament Buildings in British and Irish Sign language.  </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Facilities manager </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Complete – tour can be accessed via the external website prior to visiting or visitors to the building can use a tablet provided by Events.</w:t>
            </w:r>
          </w:p>
        </w:tc>
      </w:tr>
      <w:tr w:rsidR="006D4343" w:rsidRPr="006A2CD9" w:rsidTr="006D4343">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Access to Services (Theme 1b of the 2011 Audit of Inequalities)</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People with disabilities </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Improved environment for those with autism or on the autistic spectrum </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Mystery shop and feedback session with representative groups and their users to be held</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Facilities Manager </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2012 Complete </w:t>
            </w:r>
          </w:p>
        </w:tc>
      </w:tr>
      <w:tr w:rsidR="006D4343" w:rsidRPr="006A2CD9" w:rsidTr="006D4343">
        <w:tc>
          <w:tcPr>
            <w:tcW w:w="2196" w:type="dxa"/>
            <w:tcBorders>
              <w:bottom w:val="single" w:sz="4" w:space="0" w:color="auto"/>
            </w:tcBorders>
          </w:tcPr>
          <w:p w:rsidR="006D4343" w:rsidRPr="006A2CD9" w:rsidRDefault="006D4343" w:rsidP="006D4343">
            <w:pPr>
              <w:rPr>
                <w:rFonts w:ascii="Arial" w:hAnsi="Arial" w:cs="Arial"/>
                <w:sz w:val="21"/>
                <w:szCs w:val="21"/>
              </w:rPr>
            </w:pPr>
            <w:r w:rsidRPr="006A2CD9">
              <w:rPr>
                <w:rFonts w:ascii="Arial" w:hAnsi="Arial" w:cs="Arial"/>
                <w:sz w:val="21"/>
                <w:szCs w:val="21"/>
              </w:rPr>
              <w:t>Access to Services (Theme 1b of the 2011 Audit of Inequalities)</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People with disabilities</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Improved environment for those with autism or on the autistic spectrum</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Creation of a quiet room, signage and review internal policies.  All f</w:t>
            </w:r>
            <w:r w:rsidR="00D23CE3">
              <w:rPr>
                <w:rFonts w:ascii="Arial" w:hAnsi="Arial" w:cs="Arial"/>
                <w:sz w:val="21"/>
                <w:szCs w:val="21"/>
              </w:rPr>
              <w:t>r</w:t>
            </w:r>
            <w:r w:rsidRPr="006A2CD9">
              <w:rPr>
                <w:rFonts w:ascii="Arial" w:hAnsi="Arial" w:cs="Arial"/>
                <w:sz w:val="21"/>
                <w:szCs w:val="21"/>
              </w:rPr>
              <w:t xml:space="preserve">ont line </w:t>
            </w:r>
            <w:r w:rsidR="00D23CE3">
              <w:rPr>
                <w:rFonts w:ascii="Arial" w:hAnsi="Arial" w:cs="Arial"/>
                <w:sz w:val="21"/>
                <w:szCs w:val="21"/>
              </w:rPr>
              <w:t>staff to be trained and Autism C</w:t>
            </w:r>
            <w:r w:rsidRPr="006A2CD9">
              <w:rPr>
                <w:rFonts w:ascii="Arial" w:hAnsi="Arial" w:cs="Arial"/>
                <w:sz w:val="21"/>
                <w:szCs w:val="21"/>
              </w:rPr>
              <w:t xml:space="preserve">hampions to be identified. </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Facilities Manager</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Complete. Autism accreditation award received in 2012 and reassessed every year thereafter. </w:t>
            </w:r>
          </w:p>
        </w:tc>
      </w:tr>
      <w:tr w:rsidR="006D4343" w:rsidRPr="006A2CD9" w:rsidTr="006D4343">
        <w:tc>
          <w:tcPr>
            <w:tcW w:w="2196" w:type="dxa"/>
            <w:tcBorders>
              <w:bottom w:val="single" w:sz="4" w:space="0" w:color="auto"/>
            </w:tcBorders>
          </w:tcPr>
          <w:p w:rsidR="006D4343" w:rsidRPr="006A2CD9" w:rsidRDefault="006D4343" w:rsidP="006D4343">
            <w:pPr>
              <w:rPr>
                <w:rFonts w:ascii="Arial" w:hAnsi="Arial" w:cs="Arial"/>
                <w:sz w:val="21"/>
                <w:szCs w:val="21"/>
              </w:rPr>
            </w:pP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People with disabilities</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Improved exhibition space</w:t>
            </w: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Picture hanging system for ground floor</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Facilities Manager</w:t>
            </w: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Complete. In place in Great Hall of Parliament Buildings</w:t>
            </w:r>
          </w:p>
        </w:tc>
      </w:tr>
      <w:tr w:rsidR="006D4343" w:rsidRPr="006A2CD9" w:rsidTr="006D4343">
        <w:tc>
          <w:tcPr>
            <w:tcW w:w="2196" w:type="dxa"/>
            <w:tcBorders>
              <w:bottom w:val="single" w:sz="4" w:space="0" w:color="auto"/>
            </w:tcBorders>
          </w:tcPr>
          <w:p w:rsidR="006D4343" w:rsidRPr="006A2CD9" w:rsidRDefault="006D4343" w:rsidP="006D4343">
            <w:pPr>
              <w:rPr>
                <w:rFonts w:ascii="Arial" w:hAnsi="Arial" w:cs="Arial"/>
                <w:sz w:val="21"/>
                <w:szCs w:val="21"/>
              </w:rPr>
            </w:pP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People with disabilities</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Improved exhibition access</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Braille descriptors for Speaker’s gifts</w:t>
            </w:r>
          </w:p>
          <w:p w:rsidR="006D4343" w:rsidRPr="006A2CD9" w:rsidRDefault="006D4343" w:rsidP="006D4343">
            <w:pPr>
              <w:rPr>
                <w:rFonts w:ascii="Arial" w:hAnsi="Arial" w:cs="Arial"/>
                <w:sz w:val="21"/>
                <w:szCs w:val="21"/>
              </w:rPr>
            </w:pP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Facilities Manager</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Partially complete. Braille signage erected in Great Hall for toilets.</w:t>
            </w:r>
          </w:p>
        </w:tc>
      </w:tr>
      <w:tr w:rsidR="006D4343" w:rsidRPr="006A2CD9" w:rsidTr="006D4343">
        <w:tc>
          <w:tcPr>
            <w:tcW w:w="2196" w:type="dxa"/>
            <w:tcBorders>
              <w:bottom w:val="nil"/>
            </w:tcBorders>
          </w:tcPr>
          <w:p w:rsidR="006D4343" w:rsidRPr="006A2CD9" w:rsidRDefault="006D4343" w:rsidP="006D4343">
            <w:pPr>
              <w:rPr>
                <w:rFonts w:ascii="Arial" w:hAnsi="Arial" w:cs="Arial"/>
                <w:sz w:val="21"/>
                <w:szCs w:val="21"/>
              </w:rPr>
            </w:pPr>
            <w:r w:rsidRPr="006A2CD9">
              <w:rPr>
                <w:rFonts w:ascii="Arial" w:hAnsi="Arial" w:cs="Arial"/>
                <w:sz w:val="21"/>
                <w:szCs w:val="21"/>
              </w:rPr>
              <w:t>Access to Services (Theme 1b of the 2011 Audit of Inequalities)</w:t>
            </w: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lastRenderedPageBreak/>
              <w:t xml:space="preserve">Young People </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Increased access to the political process</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Produce 5 videos to explain (1) the importance of voting (2) Council elections (3) Northern Ireland </w:t>
            </w:r>
            <w:r w:rsidRPr="006A2CD9">
              <w:rPr>
                <w:rFonts w:ascii="Arial" w:hAnsi="Arial" w:cs="Arial"/>
                <w:sz w:val="21"/>
                <w:szCs w:val="21"/>
              </w:rPr>
              <w:lastRenderedPageBreak/>
              <w:t>Assembly elections (4) UK Parliament elections (5) European Parliament elections</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lastRenderedPageBreak/>
              <w:t>Education Manager</w:t>
            </w: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lastRenderedPageBreak/>
              <w:t>2014 Complete</w:t>
            </w: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tc>
      </w:tr>
      <w:tr w:rsidR="006D4343" w:rsidRPr="006A2CD9" w:rsidTr="006D4343">
        <w:tc>
          <w:tcPr>
            <w:tcW w:w="2196" w:type="dxa"/>
            <w:tcBorders>
              <w:bottom w:val="nil"/>
            </w:tcBorders>
          </w:tcPr>
          <w:p w:rsidR="006D4343" w:rsidRPr="006A2CD9" w:rsidRDefault="006D4343" w:rsidP="006D4343">
            <w:pPr>
              <w:rPr>
                <w:rFonts w:ascii="Arial" w:hAnsi="Arial" w:cs="Arial"/>
                <w:sz w:val="21"/>
                <w:szCs w:val="21"/>
              </w:rPr>
            </w:pPr>
            <w:r w:rsidRPr="006A2CD9">
              <w:rPr>
                <w:rFonts w:ascii="Arial" w:hAnsi="Arial" w:cs="Arial"/>
                <w:sz w:val="21"/>
                <w:szCs w:val="21"/>
              </w:rPr>
              <w:lastRenderedPageBreak/>
              <w:t>Access to Services (Theme 1b of the 2011 Audit of Inequalities)</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Young People</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Increased access to the political process</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Develop NI Assembly educational material for iBook</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Education Manager</w:t>
            </w:r>
          </w:p>
          <w:p w:rsidR="006D4343" w:rsidRPr="006A2CD9" w:rsidRDefault="006D4343" w:rsidP="006D4343">
            <w:pPr>
              <w:rPr>
                <w:rFonts w:ascii="Arial" w:hAnsi="Arial" w:cs="Arial"/>
                <w:sz w:val="21"/>
                <w:szCs w:val="21"/>
              </w:rPr>
            </w:pP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2014 Complete </w:t>
            </w:r>
          </w:p>
          <w:p w:rsidR="006D4343" w:rsidRPr="006A2CD9" w:rsidRDefault="006D4343" w:rsidP="006D4343">
            <w:pPr>
              <w:rPr>
                <w:rFonts w:ascii="Arial" w:hAnsi="Arial" w:cs="Arial"/>
                <w:sz w:val="21"/>
                <w:szCs w:val="21"/>
              </w:rPr>
            </w:pPr>
          </w:p>
        </w:tc>
      </w:tr>
      <w:tr w:rsidR="006D4343" w:rsidRPr="006A2CD9" w:rsidTr="006D4343">
        <w:tc>
          <w:tcPr>
            <w:tcW w:w="2196" w:type="dxa"/>
          </w:tcPr>
          <w:p w:rsidR="006D4343" w:rsidRPr="006A2CD9" w:rsidRDefault="006D4343" w:rsidP="006D4343">
            <w:pPr>
              <w:rPr>
                <w:rFonts w:ascii="Arial" w:hAnsi="Arial" w:cs="Arial"/>
                <w:sz w:val="21"/>
                <w:szCs w:val="21"/>
              </w:rPr>
            </w:pP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Young People </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Increased access to the political process</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‘Making a Law’ animation with subtitles </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Education Team</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Complete</w:t>
            </w:r>
          </w:p>
        </w:tc>
      </w:tr>
      <w:tr w:rsidR="006D4343" w:rsidRPr="006A2CD9" w:rsidTr="006D4343">
        <w:tc>
          <w:tcPr>
            <w:tcW w:w="2196" w:type="dxa"/>
          </w:tcPr>
          <w:p w:rsidR="006D4343" w:rsidRPr="006A2CD9" w:rsidRDefault="006D4343" w:rsidP="006D4343">
            <w:pPr>
              <w:rPr>
                <w:rFonts w:ascii="Arial" w:hAnsi="Arial" w:cs="Arial"/>
                <w:sz w:val="21"/>
                <w:szCs w:val="21"/>
              </w:rPr>
            </w:pP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Young People </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Increased access to the political process</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Develop a bespoke visitor programme for Key Stage 1 users</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Education Team</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Complete</w:t>
            </w:r>
          </w:p>
        </w:tc>
      </w:tr>
    </w:tbl>
    <w:p w:rsidR="006D4343" w:rsidRDefault="006D4343" w:rsidP="006D4343">
      <w:pPr>
        <w:rPr>
          <w:rFonts w:ascii="Arial" w:hAnsi="Arial" w:cs="Arial"/>
          <w:sz w:val="21"/>
          <w:szCs w:val="21"/>
        </w:rPr>
      </w:pPr>
    </w:p>
    <w:p w:rsidR="006A2CD9" w:rsidRPr="006A2CD9" w:rsidRDefault="006A2CD9" w:rsidP="006D4343">
      <w:pPr>
        <w:rPr>
          <w:rFonts w:ascii="Arial" w:hAnsi="Arial" w:cs="Arial"/>
          <w:sz w:val="21"/>
          <w:szCs w:val="21"/>
        </w:rPr>
      </w:pPr>
    </w:p>
    <w:tbl>
      <w:tblPr>
        <w:tblStyle w:val="TableGrid"/>
        <w:tblW w:w="0" w:type="auto"/>
        <w:tblLook w:val="04A0" w:firstRow="1" w:lastRow="0" w:firstColumn="1" w:lastColumn="0" w:noHBand="0" w:noVBand="1"/>
      </w:tblPr>
      <w:tblGrid>
        <w:gridCol w:w="2190"/>
        <w:gridCol w:w="2187"/>
        <w:gridCol w:w="2235"/>
        <w:gridCol w:w="2186"/>
        <w:gridCol w:w="2192"/>
        <w:gridCol w:w="2186"/>
      </w:tblGrid>
      <w:tr w:rsidR="006D4343" w:rsidRPr="006A2CD9" w:rsidTr="006D4343">
        <w:trPr>
          <w:tblHeader/>
        </w:trPr>
        <w:tc>
          <w:tcPr>
            <w:tcW w:w="2190" w:type="dxa"/>
          </w:tcPr>
          <w:p w:rsidR="006D4343" w:rsidRPr="00F1075A" w:rsidRDefault="006D4343" w:rsidP="006D4343">
            <w:pPr>
              <w:rPr>
                <w:rFonts w:ascii="Arial" w:hAnsi="Arial" w:cs="Arial"/>
                <w:sz w:val="28"/>
                <w:szCs w:val="28"/>
              </w:rPr>
            </w:pPr>
            <w:r w:rsidRPr="00F1075A">
              <w:rPr>
                <w:rFonts w:ascii="Arial" w:hAnsi="Arial" w:cs="Arial"/>
                <w:b/>
                <w:sz w:val="28"/>
                <w:szCs w:val="28"/>
              </w:rPr>
              <w:t>Inequality Identified</w:t>
            </w:r>
          </w:p>
        </w:tc>
        <w:tc>
          <w:tcPr>
            <w:tcW w:w="2187" w:type="dxa"/>
          </w:tcPr>
          <w:p w:rsidR="006D4343" w:rsidRPr="00F1075A" w:rsidRDefault="006D4343" w:rsidP="006D4343">
            <w:pPr>
              <w:rPr>
                <w:rFonts w:ascii="Arial" w:hAnsi="Arial" w:cs="Arial"/>
                <w:sz w:val="28"/>
                <w:szCs w:val="28"/>
              </w:rPr>
            </w:pPr>
            <w:r w:rsidRPr="00F1075A">
              <w:rPr>
                <w:rFonts w:ascii="Arial" w:hAnsi="Arial" w:cs="Arial"/>
                <w:b/>
                <w:sz w:val="28"/>
                <w:szCs w:val="28"/>
              </w:rPr>
              <w:t>Section 75 Categories</w:t>
            </w:r>
          </w:p>
        </w:tc>
        <w:tc>
          <w:tcPr>
            <w:tcW w:w="2235" w:type="dxa"/>
          </w:tcPr>
          <w:p w:rsidR="006D4343" w:rsidRPr="00F1075A" w:rsidRDefault="006D4343" w:rsidP="006D4343">
            <w:pPr>
              <w:rPr>
                <w:rFonts w:ascii="Arial" w:hAnsi="Arial" w:cs="Arial"/>
                <w:sz w:val="28"/>
                <w:szCs w:val="28"/>
              </w:rPr>
            </w:pPr>
            <w:r w:rsidRPr="00F1075A">
              <w:rPr>
                <w:rFonts w:ascii="Arial" w:hAnsi="Arial" w:cs="Arial"/>
                <w:b/>
                <w:sz w:val="28"/>
                <w:szCs w:val="28"/>
              </w:rPr>
              <w:t>Performance Indicators</w:t>
            </w:r>
          </w:p>
        </w:tc>
        <w:tc>
          <w:tcPr>
            <w:tcW w:w="2186" w:type="dxa"/>
          </w:tcPr>
          <w:p w:rsidR="006D4343" w:rsidRPr="00F1075A" w:rsidRDefault="006D4343" w:rsidP="006D4343">
            <w:pPr>
              <w:rPr>
                <w:rFonts w:ascii="Arial" w:hAnsi="Arial" w:cs="Arial"/>
                <w:sz w:val="28"/>
                <w:szCs w:val="28"/>
              </w:rPr>
            </w:pPr>
            <w:r w:rsidRPr="00F1075A">
              <w:rPr>
                <w:rFonts w:ascii="Arial" w:hAnsi="Arial" w:cs="Arial"/>
                <w:b/>
                <w:sz w:val="28"/>
                <w:szCs w:val="28"/>
              </w:rPr>
              <w:t>Action Measures</w:t>
            </w:r>
          </w:p>
        </w:tc>
        <w:tc>
          <w:tcPr>
            <w:tcW w:w="2192" w:type="dxa"/>
          </w:tcPr>
          <w:p w:rsidR="006D4343" w:rsidRPr="00F1075A" w:rsidRDefault="006D4343" w:rsidP="006D4343">
            <w:pPr>
              <w:rPr>
                <w:rFonts w:ascii="Arial" w:hAnsi="Arial" w:cs="Arial"/>
                <w:sz w:val="28"/>
                <w:szCs w:val="28"/>
              </w:rPr>
            </w:pPr>
            <w:r w:rsidRPr="00F1075A">
              <w:rPr>
                <w:rFonts w:ascii="Arial" w:hAnsi="Arial" w:cs="Arial"/>
                <w:b/>
                <w:sz w:val="28"/>
                <w:szCs w:val="28"/>
              </w:rPr>
              <w:t>Lead Responsibility</w:t>
            </w:r>
          </w:p>
        </w:tc>
        <w:tc>
          <w:tcPr>
            <w:tcW w:w="2186" w:type="dxa"/>
          </w:tcPr>
          <w:p w:rsidR="006D4343" w:rsidRPr="00F1075A" w:rsidRDefault="006D4343" w:rsidP="006D4343">
            <w:pPr>
              <w:rPr>
                <w:rFonts w:ascii="Arial" w:hAnsi="Arial" w:cs="Arial"/>
                <w:sz w:val="28"/>
                <w:szCs w:val="28"/>
              </w:rPr>
            </w:pPr>
            <w:r w:rsidRPr="00F1075A">
              <w:rPr>
                <w:rFonts w:ascii="Arial" w:hAnsi="Arial" w:cs="Arial"/>
                <w:b/>
                <w:sz w:val="28"/>
                <w:szCs w:val="28"/>
              </w:rPr>
              <w:t>Timescale</w:t>
            </w:r>
          </w:p>
        </w:tc>
      </w:tr>
      <w:tr w:rsidR="006D4343" w:rsidRPr="006A2CD9" w:rsidTr="006D4343">
        <w:tc>
          <w:tcPr>
            <w:tcW w:w="2190" w:type="dxa"/>
          </w:tcPr>
          <w:p w:rsidR="006D4343" w:rsidRPr="006A2CD9" w:rsidRDefault="006D4343" w:rsidP="006D4343">
            <w:pPr>
              <w:rPr>
                <w:rFonts w:ascii="Arial" w:hAnsi="Arial" w:cs="Arial"/>
                <w:sz w:val="21"/>
                <w:szCs w:val="21"/>
              </w:rPr>
            </w:pPr>
            <w:r w:rsidRPr="006A2CD9">
              <w:rPr>
                <w:rFonts w:ascii="Arial" w:hAnsi="Arial" w:cs="Arial"/>
                <w:sz w:val="21"/>
                <w:szCs w:val="21"/>
              </w:rPr>
              <w:t>Good Relations (Theme 1c of the 2011 Audit of Inequalities)</w:t>
            </w:r>
          </w:p>
        </w:tc>
        <w:tc>
          <w:tcPr>
            <w:tcW w:w="2187" w:type="dxa"/>
          </w:tcPr>
          <w:p w:rsidR="006D4343" w:rsidRPr="006A2CD9" w:rsidRDefault="006D4343" w:rsidP="006D4343">
            <w:pPr>
              <w:rPr>
                <w:rFonts w:ascii="Arial" w:hAnsi="Arial" w:cs="Arial"/>
                <w:sz w:val="21"/>
                <w:szCs w:val="21"/>
              </w:rPr>
            </w:pPr>
            <w:r w:rsidRPr="006A2CD9">
              <w:rPr>
                <w:rFonts w:ascii="Arial" w:hAnsi="Arial" w:cs="Arial"/>
                <w:sz w:val="21"/>
                <w:szCs w:val="21"/>
              </w:rPr>
              <w:t>Religious belief, Political opinion and/or race</w:t>
            </w:r>
          </w:p>
        </w:tc>
        <w:tc>
          <w:tcPr>
            <w:tcW w:w="2235" w:type="dxa"/>
          </w:tcPr>
          <w:p w:rsidR="006D4343" w:rsidRPr="006A2CD9" w:rsidRDefault="006D4343" w:rsidP="006D4343">
            <w:pPr>
              <w:rPr>
                <w:rFonts w:ascii="Arial" w:hAnsi="Arial" w:cs="Arial"/>
                <w:sz w:val="21"/>
                <w:szCs w:val="21"/>
              </w:rPr>
            </w:pPr>
            <w:r w:rsidRPr="006A2CD9">
              <w:rPr>
                <w:rFonts w:ascii="Arial" w:hAnsi="Arial" w:cs="Arial"/>
                <w:sz w:val="21"/>
                <w:szCs w:val="21"/>
              </w:rPr>
              <w:t>Encourage joint participation</w:t>
            </w:r>
          </w:p>
        </w:tc>
        <w:tc>
          <w:tcPr>
            <w:tcW w:w="218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Invite post Primary schools to take part in panel Q&amp;As and in small group discussions with MLAs. These ‘Let’s Talk’ style events will take place in different constituencies </w:t>
            </w:r>
          </w:p>
        </w:tc>
        <w:tc>
          <w:tcPr>
            <w:tcW w:w="2192" w:type="dxa"/>
          </w:tcPr>
          <w:p w:rsidR="006D4343" w:rsidRPr="006A2CD9" w:rsidRDefault="006D4343" w:rsidP="006D4343">
            <w:pPr>
              <w:rPr>
                <w:rFonts w:ascii="Arial" w:hAnsi="Arial" w:cs="Arial"/>
                <w:sz w:val="21"/>
                <w:szCs w:val="21"/>
              </w:rPr>
            </w:pPr>
            <w:r w:rsidRPr="006A2CD9">
              <w:rPr>
                <w:rFonts w:ascii="Arial" w:hAnsi="Arial" w:cs="Arial"/>
                <w:sz w:val="21"/>
                <w:szCs w:val="21"/>
              </w:rPr>
              <w:t>Education Manager</w:t>
            </w:r>
          </w:p>
        </w:tc>
        <w:tc>
          <w:tcPr>
            <w:tcW w:w="2186" w:type="dxa"/>
          </w:tcPr>
          <w:p w:rsidR="006D4343" w:rsidRPr="006A2CD9" w:rsidRDefault="006D4343" w:rsidP="006D4343">
            <w:pPr>
              <w:rPr>
                <w:rFonts w:ascii="Arial" w:hAnsi="Arial" w:cs="Arial"/>
                <w:sz w:val="21"/>
                <w:szCs w:val="21"/>
              </w:rPr>
            </w:pPr>
            <w:r w:rsidRPr="006A2CD9">
              <w:rPr>
                <w:rFonts w:ascii="Arial" w:hAnsi="Arial" w:cs="Arial"/>
                <w:sz w:val="21"/>
                <w:szCs w:val="21"/>
              </w:rPr>
              <w:t>West Tyrone/Mid Ulster. Complete November 2014</w:t>
            </w: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r w:rsidRPr="006A2CD9">
              <w:rPr>
                <w:rFonts w:ascii="Arial" w:hAnsi="Arial" w:cs="Arial"/>
                <w:sz w:val="21"/>
                <w:szCs w:val="21"/>
              </w:rPr>
              <w:t>Belfast Complete November 2014</w:t>
            </w: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r w:rsidRPr="006A2CD9">
              <w:rPr>
                <w:rFonts w:ascii="Arial" w:hAnsi="Arial" w:cs="Arial"/>
                <w:sz w:val="21"/>
                <w:szCs w:val="21"/>
              </w:rPr>
              <w:t>Other constituencies ongoing</w:t>
            </w:r>
          </w:p>
        </w:tc>
      </w:tr>
      <w:tr w:rsidR="006D4343" w:rsidRPr="006A2CD9" w:rsidTr="006D4343">
        <w:tc>
          <w:tcPr>
            <w:tcW w:w="2190" w:type="dxa"/>
          </w:tcPr>
          <w:p w:rsidR="006D4343" w:rsidRPr="006A2CD9" w:rsidRDefault="006D4343" w:rsidP="006D4343">
            <w:pPr>
              <w:rPr>
                <w:rFonts w:ascii="Arial" w:hAnsi="Arial" w:cs="Arial"/>
                <w:sz w:val="21"/>
                <w:szCs w:val="21"/>
              </w:rPr>
            </w:pPr>
          </w:p>
        </w:tc>
        <w:tc>
          <w:tcPr>
            <w:tcW w:w="2187" w:type="dxa"/>
          </w:tcPr>
          <w:p w:rsidR="006D4343" w:rsidRPr="006A2CD9" w:rsidRDefault="006D4343" w:rsidP="006D4343">
            <w:pPr>
              <w:rPr>
                <w:rFonts w:ascii="Arial" w:hAnsi="Arial" w:cs="Arial"/>
                <w:sz w:val="21"/>
                <w:szCs w:val="21"/>
              </w:rPr>
            </w:pPr>
            <w:r w:rsidRPr="006A2CD9">
              <w:rPr>
                <w:rFonts w:ascii="Arial" w:hAnsi="Arial" w:cs="Arial"/>
                <w:sz w:val="21"/>
                <w:szCs w:val="21"/>
              </w:rPr>
              <w:t>Religious belief, Political opinion and/or race</w:t>
            </w: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r w:rsidRPr="006A2CD9">
              <w:rPr>
                <w:rFonts w:ascii="Arial" w:hAnsi="Arial" w:cs="Arial"/>
                <w:sz w:val="21"/>
                <w:szCs w:val="21"/>
              </w:rPr>
              <w:t>Religious belief, Political opinion and/or race</w:t>
            </w:r>
          </w:p>
          <w:p w:rsidR="006D4343" w:rsidRPr="006A2CD9" w:rsidRDefault="006D4343" w:rsidP="006D4343">
            <w:pPr>
              <w:rPr>
                <w:rFonts w:ascii="Arial" w:hAnsi="Arial" w:cs="Arial"/>
                <w:sz w:val="21"/>
                <w:szCs w:val="21"/>
              </w:rPr>
            </w:pPr>
          </w:p>
        </w:tc>
        <w:tc>
          <w:tcPr>
            <w:tcW w:w="2235"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EQIA on the Review of the Policy of the Union Flag flying on Parliament Buildings. </w:t>
            </w: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r w:rsidRPr="006A2CD9">
              <w:rPr>
                <w:rFonts w:ascii="Arial" w:hAnsi="Arial" w:cs="Arial"/>
                <w:sz w:val="21"/>
                <w:szCs w:val="21"/>
              </w:rPr>
              <w:t>Completed EQIA report delivered on time and within budget</w:t>
            </w: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tc>
        <w:tc>
          <w:tcPr>
            <w:tcW w:w="218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Procurement exercise undertaken for steps 2-5 of the EQIA process </w:t>
            </w: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r w:rsidRPr="006A2CD9">
              <w:rPr>
                <w:rFonts w:ascii="Arial" w:hAnsi="Arial" w:cs="Arial"/>
                <w:sz w:val="21"/>
                <w:szCs w:val="21"/>
              </w:rPr>
              <w:t xml:space="preserve">Risk registry and risk group established </w:t>
            </w: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r w:rsidRPr="006A2CD9">
              <w:rPr>
                <w:rFonts w:ascii="Arial" w:hAnsi="Arial" w:cs="Arial"/>
                <w:sz w:val="21"/>
                <w:szCs w:val="21"/>
              </w:rPr>
              <w:t>Project initiated document approved</w:t>
            </w: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r w:rsidRPr="006A2CD9">
              <w:rPr>
                <w:rFonts w:ascii="Arial" w:hAnsi="Arial" w:cs="Arial"/>
                <w:sz w:val="21"/>
                <w:szCs w:val="21"/>
              </w:rPr>
              <w:t>Consultation strategy developed</w:t>
            </w: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r w:rsidRPr="006A2CD9">
              <w:rPr>
                <w:rFonts w:ascii="Arial" w:hAnsi="Arial" w:cs="Arial"/>
                <w:sz w:val="21"/>
                <w:szCs w:val="21"/>
              </w:rPr>
              <w:t>Interim report developed</w:t>
            </w: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tc>
        <w:tc>
          <w:tcPr>
            <w:tcW w:w="2192" w:type="dxa"/>
          </w:tcPr>
          <w:p w:rsidR="006D4343" w:rsidRPr="006A2CD9" w:rsidRDefault="006D4343" w:rsidP="006D4343">
            <w:pPr>
              <w:rPr>
                <w:rFonts w:ascii="Arial" w:hAnsi="Arial" w:cs="Arial"/>
                <w:sz w:val="21"/>
                <w:szCs w:val="21"/>
              </w:rPr>
            </w:pPr>
            <w:r w:rsidRPr="006A2CD9">
              <w:rPr>
                <w:rFonts w:ascii="Arial" w:hAnsi="Arial" w:cs="Arial"/>
                <w:sz w:val="21"/>
                <w:szCs w:val="21"/>
              </w:rPr>
              <w:t>Equality Manager</w:t>
            </w: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r w:rsidRPr="006A2CD9">
              <w:rPr>
                <w:rFonts w:ascii="Arial" w:hAnsi="Arial" w:cs="Arial"/>
                <w:sz w:val="21"/>
                <w:szCs w:val="21"/>
              </w:rPr>
              <w:t>Equality Manager</w:t>
            </w:r>
          </w:p>
        </w:tc>
        <w:tc>
          <w:tcPr>
            <w:tcW w:w="2186" w:type="dxa"/>
          </w:tcPr>
          <w:p w:rsidR="006D4343" w:rsidRPr="006A2CD9" w:rsidRDefault="006D4343" w:rsidP="006D4343">
            <w:pPr>
              <w:rPr>
                <w:rFonts w:ascii="Arial" w:hAnsi="Arial" w:cs="Arial"/>
                <w:sz w:val="21"/>
                <w:szCs w:val="21"/>
              </w:rPr>
            </w:pPr>
            <w:r w:rsidRPr="006A2CD9">
              <w:rPr>
                <w:rFonts w:ascii="Arial" w:hAnsi="Arial" w:cs="Arial"/>
                <w:sz w:val="21"/>
                <w:szCs w:val="21"/>
              </w:rPr>
              <w:t>Complete. Contract commenced on 16 July 2014.</w:t>
            </w:r>
          </w:p>
        </w:tc>
      </w:tr>
      <w:tr w:rsidR="006D4343" w:rsidRPr="006A2CD9" w:rsidTr="006D4343">
        <w:tc>
          <w:tcPr>
            <w:tcW w:w="2190" w:type="dxa"/>
          </w:tcPr>
          <w:p w:rsidR="006D4343" w:rsidRPr="006A2CD9" w:rsidRDefault="006D4343" w:rsidP="006D4343">
            <w:pPr>
              <w:rPr>
                <w:rFonts w:ascii="Arial" w:hAnsi="Arial" w:cs="Arial"/>
                <w:sz w:val="21"/>
                <w:szCs w:val="21"/>
              </w:rPr>
            </w:pPr>
          </w:p>
        </w:tc>
        <w:tc>
          <w:tcPr>
            <w:tcW w:w="2187" w:type="dxa"/>
          </w:tcPr>
          <w:p w:rsidR="006D4343" w:rsidRPr="006A2CD9" w:rsidRDefault="006D4343" w:rsidP="006D4343">
            <w:pPr>
              <w:rPr>
                <w:rFonts w:ascii="Arial" w:hAnsi="Arial" w:cs="Arial"/>
                <w:sz w:val="21"/>
                <w:szCs w:val="21"/>
              </w:rPr>
            </w:pPr>
            <w:r w:rsidRPr="006A2CD9">
              <w:rPr>
                <w:rFonts w:ascii="Arial" w:hAnsi="Arial" w:cs="Arial"/>
                <w:sz w:val="21"/>
                <w:szCs w:val="21"/>
              </w:rPr>
              <w:t>Religious belief, Political opinion and/or race</w:t>
            </w:r>
          </w:p>
          <w:p w:rsidR="006D4343" w:rsidRPr="006A2CD9" w:rsidRDefault="006D4343" w:rsidP="006D4343">
            <w:pPr>
              <w:rPr>
                <w:rFonts w:ascii="Arial" w:hAnsi="Arial" w:cs="Arial"/>
                <w:sz w:val="21"/>
                <w:szCs w:val="21"/>
              </w:rPr>
            </w:pPr>
          </w:p>
        </w:tc>
        <w:tc>
          <w:tcPr>
            <w:tcW w:w="2235" w:type="dxa"/>
          </w:tcPr>
          <w:p w:rsidR="006D4343" w:rsidRPr="006A2CD9" w:rsidRDefault="006D4343" w:rsidP="006D4343">
            <w:pPr>
              <w:rPr>
                <w:rFonts w:ascii="Arial" w:hAnsi="Arial" w:cs="Arial"/>
                <w:sz w:val="21"/>
                <w:szCs w:val="21"/>
              </w:rPr>
            </w:pPr>
            <w:r w:rsidRPr="006A2CD9">
              <w:rPr>
                <w:rFonts w:ascii="Arial" w:hAnsi="Arial" w:cs="Arial"/>
                <w:sz w:val="21"/>
                <w:szCs w:val="21"/>
              </w:rPr>
              <w:t>Consultation, to include public engagement, comments returned within agreed deadline</w:t>
            </w:r>
          </w:p>
          <w:p w:rsidR="006D4343" w:rsidRPr="006A2CD9" w:rsidRDefault="006D4343" w:rsidP="006D4343">
            <w:pPr>
              <w:rPr>
                <w:rFonts w:ascii="Arial" w:hAnsi="Arial" w:cs="Arial"/>
                <w:sz w:val="21"/>
                <w:szCs w:val="21"/>
              </w:rPr>
            </w:pPr>
          </w:p>
        </w:tc>
        <w:tc>
          <w:tcPr>
            <w:tcW w:w="2186" w:type="dxa"/>
          </w:tcPr>
          <w:p w:rsidR="006D4343" w:rsidRPr="006A2CD9" w:rsidRDefault="006D4343" w:rsidP="006D4343">
            <w:pPr>
              <w:rPr>
                <w:rFonts w:ascii="Arial" w:hAnsi="Arial" w:cs="Arial"/>
                <w:sz w:val="21"/>
                <w:szCs w:val="21"/>
              </w:rPr>
            </w:pPr>
            <w:r w:rsidRPr="006A2CD9">
              <w:rPr>
                <w:rFonts w:ascii="Arial" w:hAnsi="Arial" w:cs="Arial"/>
                <w:sz w:val="21"/>
                <w:szCs w:val="21"/>
              </w:rPr>
              <w:t>Pre-consultation exercise conducted</w:t>
            </w: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r w:rsidRPr="006A2CD9">
              <w:rPr>
                <w:rFonts w:ascii="Arial" w:hAnsi="Arial" w:cs="Arial"/>
                <w:sz w:val="21"/>
                <w:szCs w:val="21"/>
              </w:rPr>
              <w:t>Formal public consultation exercise conducted</w:t>
            </w:r>
          </w:p>
        </w:tc>
        <w:tc>
          <w:tcPr>
            <w:tcW w:w="2192" w:type="dxa"/>
          </w:tcPr>
          <w:p w:rsidR="006D4343" w:rsidRPr="006A2CD9" w:rsidRDefault="006D4343" w:rsidP="006D4343">
            <w:pPr>
              <w:rPr>
                <w:rFonts w:ascii="Arial" w:hAnsi="Arial" w:cs="Arial"/>
                <w:sz w:val="21"/>
                <w:szCs w:val="21"/>
              </w:rPr>
            </w:pPr>
            <w:r w:rsidRPr="006A2CD9">
              <w:rPr>
                <w:rFonts w:ascii="Arial" w:hAnsi="Arial" w:cs="Arial"/>
                <w:sz w:val="21"/>
                <w:szCs w:val="21"/>
              </w:rPr>
              <w:t>Equality Manager</w:t>
            </w:r>
          </w:p>
        </w:tc>
        <w:tc>
          <w:tcPr>
            <w:tcW w:w="2186" w:type="dxa"/>
          </w:tcPr>
          <w:p w:rsidR="006D4343" w:rsidRPr="006A2CD9" w:rsidRDefault="006D4343" w:rsidP="006D4343">
            <w:pPr>
              <w:rPr>
                <w:rFonts w:ascii="Arial" w:hAnsi="Arial" w:cs="Arial"/>
                <w:sz w:val="21"/>
                <w:szCs w:val="21"/>
              </w:rPr>
            </w:pPr>
            <w:r w:rsidRPr="006A2CD9">
              <w:rPr>
                <w:rFonts w:ascii="Arial" w:hAnsi="Arial" w:cs="Arial"/>
                <w:sz w:val="21"/>
                <w:szCs w:val="21"/>
              </w:rPr>
              <w:t>Complete. Pre-consultation ran from 1 October to 14 October 2014</w:t>
            </w:r>
          </w:p>
          <w:p w:rsidR="006D4343" w:rsidRPr="006A2CD9" w:rsidRDefault="006D4343" w:rsidP="006D4343">
            <w:pPr>
              <w:rPr>
                <w:rFonts w:ascii="Arial" w:hAnsi="Arial" w:cs="Arial"/>
                <w:sz w:val="21"/>
                <w:szCs w:val="21"/>
              </w:rPr>
            </w:pPr>
          </w:p>
        </w:tc>
      </w:tr>
      <w:tr w:rsidR="006D4343" w:rsidRPr="006A2CD9" w:rsidTr="006D4343">
        <w:tc>
          <w:tcPr>
            <w:tcW w:w="2190" w:type="dxa"/>
          </w:tcPr>
          <w:p w:rsidR="006D4343" w:rsidRPr="006A2CD9" w:rsidRDefault="006D4343" w:rsidP="006D4343">
            <w:pPr>
              <w:rPr>
                <w:rFonts w:ascii="Arial" w:hAnsi="Arial" w:cs="Arial"/>
                <w:sz w:val="21"/>
                <w:szCs w:val="21"/>
              </w:rPr>
            </w:pPr>
          </w:p>
        </w:tc>
        <w:tc>
          <w:tcPr>
            <w:tcW w:w="2187" w:type="dxa"/>
          </w:tcPr>
          <w:p w:rsidR="006D4343" w:rsidRPr="006A2CD9" w:rsidRDefault="006D4343" w:rsidP="006D4343">
            <w:pPr>
              <w:rPr>
                <w:rFonts w:ascii="Arial" w:hAnsi="Arial" w:cs="Arial"/>
                <w:sz w:val="21"/>
                <w:szCs w:val="21"/>
              </w:rPr>
            </w:pPr>
            <w:r w:rsidRPr="006A2CD9">
              <w:rPr>
                <w:rFonts w:ascii="Arial" w:hAnsi="Arial" w:cs="Arial"/>
                <w:sz w:val="21"/>
                <w:szCs w:val="21"/>
              </w:rPr>
              <w:t>Religious belief, Political opinion and/or race</w:t>
            </w:r>
          </w:p>
          <w:p w:rsidR="006D4343" w:rsidRPr="006A2CD9" w:rsidRDefault="006D4343" w:rsidP="006D4343">
            <w:pPr>
              <w:rPr>
                <w:rFonts w:ascii="Arial" w:hAnsi="Arial" w:cs="Arial"/>
                <w:sz w:val="21"/>
                <w:szCs w:val="21"/>
              </w:rPr>
            </w:pPr>
          </w:p>
        </w:tc>
        <w:tc>
          <w:tcPr>
            <w:tcW w:w="2235" w:type="dxa"/>
          </w:tcPr>
          <w:p w:rsidR="006D4343" w:rsidRPr="006A2CD9" w:rsidRDefault="006D4343" w:rsidP="006D4343">
            <w:pPr>
              <w:rPr>
                <w:rFonts w:ascii="Arial" w:hAnsi="Arial" w:cs="Arial"/>
                <w:sz w:val="21"/>
                <w:szCs w:val="21"/>
              </w:rPr>
            </w:pPr>
            <w:r w:rsidRPr="006A2CD9">
              <w:rPr>
                <w:rFonts w:ascii="Arial" w:hAnsi="Arial" w:cs="Arial"/>
                <w:sz w:val="21"/>
                <w:szCs w:val="21"/>
              </w:rPr>
              <w:t>Assembly Commission report on EQIA findings published and decision taken on policy position</w:t>
            </w:r>
          </w:p>
          <w:p w:rsidR="006D4343" w:rsidRPr="006A2CD9" w:rsidRDefault="006D4343" w:rsidP="006D4343">
            <w:pPr>
              <w:rPr>
                <w:rFonts w:ascii="Arial" w:hAnsi="Arial" w:cs="Arial"/>
                <w:sz w:val="21"/>
                <w:szCs w:val="21"/>
              </w:rPr>
            </w:pPr>
          </w:p>
        </w:tc>
        <w:tc>
          <w:tcPr>
            <w:tcW w:w="218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Agreement by Assembly Commission of findings and </w:t>
            </w:r>
            <w:proofErr w:type="spellStart"/>
            <w:r w:rsidRPr="006A2CD9">
              <w:rPr>
                <w:rFonts w:ascii="Arial" w:hAnsi="Arial" w:cs="Arial"/>
                <w:sz w:val="21"/>
                <w:szCs w:val="21"/>
              </w:rPr>
              <w:t>consultee</w:t>
            </w:r>
            <w:proofErr w:type="spellEnd"/>
            <w:r w:rsidRPr="006A2CD9">
              <w:rPr>
                <w:rFonts w:ascii="Arial" w:hAnsi="Arial" w:cs="Arial"/>
                <w:sz w:val="21"/>
                <w:szCs w:val="21"/>
              </w:rPr>
              <w:t xml:space="preserve"> report formulated</w:t>
            </w:r>
          </w:p>
        </w:tc>
        <w:tc>
          <w:tcPr>
            <w:tcW w:w="2192" w:type="dxa"/>
          </w:tcPr>
          <w:p w:rsidR="006D4343" w:rsidRPr="006A2CD9" w:rsidRDefault="006D4343" w:rsidP="006D4343">
            <w:pPr>
              <w:rPr>
                <w:rFonts w:ascii="Arial" w:hAnsi="Arial" w:cs="Arial"/>
                <w:sz w:val="21"/>
                <w:szCs w:val="21"/>
              </w:rPr>
            </w:pPr>
            <w:r w:rsidRPr="006A2CD9">
              <w:rPr>
                <w:rFonts w:ascii="Arial" w:hAnsi="Arial" w:cs="Arial"/>
                <w:sz w:val="21"/>
                <w:szCs w:val="21"/>
              </w:rPr>
              <w:t>Equality Manager</w:t>
            </w:r>
          </w:p>
        </w:tc>
        <w:tc>
          <w:tcPr>
            <w:tcW w:w="2186" w:type="dxa"/>
          </w:tcPr>
          <w:p w:rsidR="006D4343" w:rsidRPr="006A2CD9" w:rsidRDefault="006D4343" w:rsidP="006D4343">
            <w:pPr>
              <w:rPr>
                <w:rFonts w:ascii="Arial" w:hAnsi="Arial" w:cs="Arial"/>
                <w:sz w:val="21"/>
                <w:szCs w:val="21"/>
              </w:rPr>
            </w:pPr>
          </w:p>
        </w:tc>
      </w:tr>
    </w:tbl>
    <w:p w:rsidR="006D4343" w:rsidRPr="006A2CD9" w:rsidRDefault="006D4343" w:rsidP="006D4343">
      <w:pPr>
        <w:rPr>
          <w:rFonts w:ascii="Arial" w:hAnsi="Arial" w:cs="Arial"/>
          <w:sz w:val="21"/>
          <w:szCs w:val="21"/>
        </w:rPr>
      </w:pPr>
    </w:p>
    <w:tbl>
      <w:tblPr>
        <w:tblStyle w:val="TableGrid"/>
        <w:tblW w:w="0" w:type="auto"/>
        <w:tblLook w:val="04A0" w:firstRow="1" w:lastRow="0" w:firstColumn="1" w:lastColumn="0" w:noHBand="0" w:noVBand="1"/>
      </w:tblPr>
      <w:tblGrid>
        <w:gridCol w:w="2190"/>
        <w:gridCol w:w="2187"/>
        <w:gridCol w:w="2235"/>
        <w:gridCol w:w="2710"/>
        <w:gridCol w:w="2130"/>
        <w:gridCol w:w="1728"/>
      </w:tblGrid>
      <w:tr w:rsidR="006D4343" w:rsidRPr="006A2CD9" w:rsidTr="006D4343">
        <w:trPr>
          <w:tblHeader/>
        </w:trPr>
        <w:tc>
          <w:tcPr>
            <w:tcW w:w="2190" w:type="dxa"/>
          </w:tcPr>
          <w:p w:rsidR="006D4343" w:rsidRPr="00F1075A" w:rsidRDefault="006D4343" w:rsidP="006D4343">
            <w:pPr>
              <w:rPr>
                <w:rFonts w:ascii="Arial" w:hAnsi="Arial" w:cs="Arial"/>
                <w:sz w:val="28"/>
                <w:szCs w:val="28"/>
              </w:rPr>
            </w:pPr>
            <w:r w:rsidRPr="00F1075A">
              <w:rPr>
                <w:rFonts w:ascii="Arial" w:hAnsi="Arial" w:cs="Arial"/>
                <w:b/>
                <w:sz w:val="28"/>
                <w:szCs w:val="28"/>
              </w:rPr>
              <w:lastRenderedPageBreak/>
              <w:t>Inequality Identified</w:t>
            </w:r>
          </w:p>
        </w:tc>
        <w:tc>
          <w:tcPr>
            <w:tcW w:w="2187" w:type="dxa"/>
          </w:tcPr>
          <w:p w:rsidR="006D4343" w:rsidRPr="00F1075A" w:rsidRDefault="006D4343" w:rsidP="006D4343">
            <w:pPr>
              <w:rPr>
                <w:rFonts w:ascii="Arial" w:hAnsi="Arial" w:cs="Arial"/>
                <w:sz w:val="28"/>
                <w:szCs w:val="28"/>
              </w:rPr>
            </w:pPr>
            <w:r w:rsidRPr="00F1075A">
              <w:rPr>
                <w:rFonts w:ascii="Arial" w:hAnsi="Arial" w:cs="Arial"/>
                <w:b/>
                <w:sz w:val="28"/>
                <w:szCs w:val="28"/>
              </w:rPr>
              <w:t>Section 75 Categories</w:t>
            </w:r>
          </w:p>
        </w:tc>
        <w:tc>
          <w:tcPr>
            <w:tcW w:w="2235" w:type="dxa"/>
          </w:tcPr>
          <w:p w:rsidR="006D4343" w:rsidRPr="00F1075A" w:rsidRDefault="006D4343" w:rsidP="006D4343">
            <w:pPr>
              <w:rPr>
                <w:rFonts w:ascii="Arial" w:hAnsi="Arial" w:cs="Arial"/>
                <w:sz w:val="28"/>
                <w:szCs w:val="28"/>
              </w:rPr>
            </w:pPr>
            <w:r w:rsidRPr="00F1075A">
              <w:rPr>
                <w:rFonts w:ascii="Arial" w:hAnsi="Arial" w:cs="Arial"/>
                <w:b/>
                <w:sz w:val="28"/>
                <w:szCs w:val="28"/>
              </w:rPr>
              <w:t>Performance Indicators</w:t>
            </w:r>
          </w:p>
        </w:tc>
        <w:tc>
          <w:tcPr>
            <w:tcW w:w="2710" w:type="dxa"/>
          </w:tcPr>
          <w:p w:rsidR="006D4343" w:rsidRPr="00F1075A" w:rsidRDefault="006D4343" w:rsidP="006D4343">
            <w:pPr>
              <w:rPr>
                <w:rFonts w:ascii="Arial" w:hAnsi="Arial" w:cs="Arial"/>
                <w:sz w:val="28"/>
                <w:szCs w:val="28"/>
              </w:rPr>
            </w:pPr>
            <w:r w:rsidRPr="00F1075A">
              <w:rPr>
                <w:rFonts w:ascii="Arial" w:hAnsi="Arial" w:cs="Arial"/>
                <w:b/>
                <w:sz w:val="28"/>
                <w:szCs w:val="28"/>
              </w:rPr>
              <w:t>Action Measures</w:t>
            </w:r>
          </w:p>
        </w:tc>
        <w:tc>
          <w:tcPr>
            <w:tcW w:w="2126" w:type="dxa"/>
          </w:tcPr>
          <w:p w:rsidR="006D4343" w:rsidRPr="00F1075A" w:rsidRDefault="006D4343" w:rsidP="006D4343">
            <w:pPr>
              <w:rPr>
                <w:rFonts w:ascii="Arial" w:hAnsi="Arial" w:cs="Arial"/>
                <w:sz w:val="28"/>
                <w:szCs w:val="28"/>
              </w:rPr>
            </w:pPr>
            <w:r w:rsidRPr="00F1075A">
              <w:rPr>
                <w:rFonts w:ascii="Arial" w:hAnsi="Arial" w:cs="Arial"/>
                <w:b/>
                <w:sz w:val="28"/>
                <w:szCs w:val="28"/>
              </w:rPr>
              <w:t>Lead Responsibility</w:t>
            </w:r>
          </w:p>
        </w:tc>
        <w:tc>
          <w:tcPr>
            <w:tcW w:w="1728" w:type="dxa"/>
          </w:tcPr>
          <w:p w:rsidR="006D4343" w:rsidRPr="00F1075A" w:rsidRDefault="006D4343" w:rsidP="006D4343">
            <w:pPr>
              <w:rPr>
                <w:rFonts w:ascii="Arial" w:hAnsi="Arial" w:cs="Arial"/>
                <w:sz w:val="28"/>
                <w:szCs w:val="28"/>
              </w:rPr>
            </w:pPr>
            <w:r w:rsidRPr="00F1075A">
              <w:rPr>
                <w:rFonts w:ascii="Arial" w:hAnsi="Arial" w:cs="Arial"/>
                <w:b/>
                <w:sz w:val="28"/>
                <w:szCs w:val="28"/>
              </w:rPr>
              <w:t>Timescale</w:t>
            </w:r>
          </w:p>
        </w:tc>
      </w:tr>
      <w:tr w:rsidR="006D4343" w:rsidRPr="006A2CD9" w:rsidTr="006D4343">
        <w:tc>
          <w:tcPr>
            <w:tcW w:w="2190" w:type="dxa"/>
          </w:tcPr>
          <w:p w:rsidR="006D4343" w:rsidRPr="006A2CD9" w:rsidRDefault="006D4343" w:rsidP="006D4343">
            <w:pPr>
              <w:rPr>
                <w:rFonts w:ascii="Arial" w:hAnsi="Arial" w:cs="Arial"/>
                <w:sz w:val="21"/>
                <w:szCs w:val="21"/>
              </w:rPr>
            </w:pPr>
            <w:r w:rsidRPr="006A2CD9">
              <w:rPr>
                <w:rFonts w:ascii="Arial" w:hAnsi="Arial" w:cs="Arial"/>
                <w:sz w:val="21"/>
                <w:szCs w:val="21"/>
              </w:rPr>
              <w:t>Participation</w:t>
            </w:r>
          </w:p>
          <w:p w:rsidR="006D4343" w:rsidRPr="006A2CD9" w:rsidRDefault="006D4343" w:rsidP="006D4343">
            <w:pPr>
              <w:rPr>
                <w:rFonts w:ascii="Arial" w:hAnsi="Arial" w:cs="Arial"/>
                <w:sz w:val="21"/>
                <w:szCs w:val="21"/>
              </w:rPr>
            </w:pPr>
            <w:r w:rsidRPr="006A2CD9">
              <w:rPr>
                <w:rFonts w:ascii="Arial" w:hAnsi="Arial" w:cs="Arial"/>
                <w:sz w:val="21"/>
                <w:szCs w:val="21"/>
              </w:rPr>
              <w:t>(Theme 1d of the 2011 Audit of Inequalities)</w:t>
            </w: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tc>
        <w:tc>
          <w:tcPr>
            <w:tcW w:w="2187" w:type="dxa"/>
          </w:tcPr>
          <w:p w:rsidR="006D4343" w:rsidRPr="006A2CD9" w:rsidRDefault="006D4343" w:rsidP="006D4343">
            <w:pPr>
              <w:rPr>
                <w:rFonts w:ascii="Arial" w:hAnsi="Arial" w:cs="Arial"/>
                <w:sz w:val="21"/>
                <w:szCs w:val="21"/>
              </w:rPr>
            </w:pPr>
            <w:r w:rsidRPr="006A2CD9">
              <w:rPr>
                <w:rFonts w:ascii="Arial" w:hAnsi="Arial" w:cs="Arial"/>
                <w:sz w:val="21"/>
                <w:szCs w:val="21"/>
              </w:rPr>
              <w:t>Young people</w:t>
            </w:r>
          </w:p>
        </w:tc>
        <w:tc>
          <w:tcPr>
            <w:tcW w:w="2235" w:type="dxa"/>
            <w:tcBorders>
              <w:bottom w:val="single" w:sz="4" w:space="0" w:color="auto"/>
            </w:tcBorders>
          </w:tcPr>
          <w:p w:rsidR="006D4343" w:rsidRPr="006A2CD9" w:rsidRDefault="006D4343" w:rsidP="006D4343">
            <w:pPr>
              <w:rPr>
                <w:rFonts w:ascii="Arial" w:hAnsi="Arial" w:cs="Arial"/>
                <w:sz w:val="21"/>
                <w:szCs w:val="21"/>
              </w:rPr>
            </w:pPr>
            <w:r w:rsidRPr="006A2CD9">
              <w:rPr>
                <w:rFonts w:ascii="Arial" w:hAnsi="Arial" w:cs="Arial"/>
                <w:sz w:val="21"/>
                <w:szCs w:val="21"/>
              </w:rPr>
              <w:t>To encourage increased participation in politics amongst young people (Involving young people in the work of the Assembly)</w:t>
            </w:r>
          </w:p>
        </w:tc>
        <w:tc>
          <w:tcPr>
            <w:tcW w:w="2710" w:type="dxa"/>
          </w:tcPr>
          <w:p w:rsidR="006D4343" w:rsidRPr="006A2CD9" w:rsidRDefault="006D4343" w:rsidP="006D4343">
            <w:pPr>
              <w:rPr>
                <w:rFonts w:ascii="Arial" w:hAnsi="Arial" w:cs="Arial"/>
                <w:sz w:val="21"/>
                <w:szCs w:val="21"/>
              </w:rPr>
            </w:pPr>
            <w:r w:rsidRPr="006A2CD9">
              <w:rPr>
                <w:rFonts w:ascii="Arial" w:hAnsi="Arial" w:cs="Arial"/>
                <w:sz w:val="21"/>
                <w:szCs w:val="21"/>
              </w:rPr>
              <w:t>Specific schools from all sectors to be targeted to take part in the Education Committee Shared and Integrated Education Inquiry</w:t>
            </w:r>
          </w:p>
          <w:p w:rsidR="006D4343" w:rsidRPr="006A2CD9" w:rsidRDefault="006D4343" w:rsidP="006D4343">
            <w:pPr>
              <w:rPr>
                <w:rFonts w:ascii="Arial" w:hAnsi="Arial" w:cs="Arial"/>
                <w:sz w:val="21"/>
                <w:szCs w:val="21"/>
              </w:rPr>
            </w:pPr>
          </w:p>
        </w:tc>
        <w:tc>
          <w:tcPr>
            <w:tcW w:w="212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Education Manager </w:t>
            </w: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tc>
        <w:tc>
          <w:tcPr>
            <w:tcW w:w="1728" w:type="dxa"/>
          </w:tcPr>
          <w:p w:rsidR="006D4343" w:rsidRPr="006A2CD9" w:rsidRDefault="006D4343" w:rsidP="006D4343">
            <w:pPr>
              <w:rPr>
                <w:rFonts w:ascii="Arial" w:hAnsi="Arial" w:cs="Arial"/>
                <w:sz w:val="21"/>
                <w:szCs w:val="21"/>
              </w:rPr>
            </w:pPr>
            <w:r w:rsidRPr="006A2CD9">
              <w:rPr>
                <w:rFonts w:ascii="Arial" w:hAnsi="Arial" w:cs="Arial"/>
                <w:sz w:val="21"/>
                <w:szCs w:val="21"/>
              </w:rPr>
              <w:t>Sept-Nov 2014. Complete</w:t>
            </w: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tc>
      </w:tr>
      <w:tr w:rsidR="006D4343" w:rsidRPr="006A2CD9" w:rsidTr="006D4343">
        <w:tc>
          <w:tcPr>
            <w:tcW w:w="2190" w:type="dxa"/>
          </w:tcPr>
          <w:p w:rsidR="006D4343" w:rsidRPr="006A2CD9" w:rsidRDefault="006D4343" w:rsidP="006D4343">
            <w:pPr>
              <w:rPr>
                <w:rFonts w:ascii="Arial" w:hAnsi="Arial" w:cs="Arial"/>
                <w:sz w:val="21"/>
                <w:szCs w:val="21"/>
              </w:rPr>
            </w:pPr>
            <w:r w:rsidRPr="006A2CD9">
              <w:rPr>
                <w:rFonts w:ascii="Arial" w:hAnsi="Arial" w:cs="Arial"/>
                <w:sz w:val="21"/>
                <w:szCs w:val="21"/>
              </w:rPr>
              <w:t>Access to Services (Theme 1d of the 2011 Audit of Inequalities)</w:t>
            </w:r>
          </w:p>
        </w:tc>
        <w:tc>
          <w:tcPr>
            <w:tcW w:w="2187"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Young People </w:t>
            </w:r>
          </w:p>
        </w:tc>
        <w:tc>
          <w:tcPr>
            <w:tcW w:w="2235" w:type="dxa"/>
            <w:tcBorders>
              <w:bottom w:val="single" w:sz="4" w:space="0" w:color="auto"/>
            </w:tcBorders>
          </w:tcPr>
          <w:p w:rsidR="006D4343" w:rsidRPr="006A2CD9" w:rsidRDefault="006D4343" w:rsidP="006D4343">
            <w:pPr>
              <w:rPr>
                <w:rFonts w:ascii="Arial" w:hAnsi="Arial" w:cs="Arial"/>
                <w:sz w:val="21"/>
                <w:szCs w:val="21"/>
              </w:rPr>
            </w:pPr>
            <w:r w:rsidRPr="006A2CD9">
              <w:rPr>
                <w:rFonts w:ascii="Arial" w:hAnsi="Arial" w:cs="Arial"/>
                <w:sz w:val="21"/>
                <w:szCs w:val="21"/>
              </w:rPr>
              <w:t>To encourage increased participation in politics amongst young people (Involving young people in the work of the Assembly)</w:t>
            </w:r>
          </w:p>
        </w:tc>
        <w:tc>
          <w:tcPr>
            <w:tcW w:w="2710"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To assist the Environment Committee in seeking views of young people on the Road Traffic (Amendment) Bill </w:t>
            </w:r>
          </w:p>
          <w:p w:rsidR="006D4343" w:rsidRPr="006A2CD9" w:rsidRDefault="006D4343" w:rsidP="006D4343">
            <w:pPr>
              <w:rPr>
                <w:rFonts w:ascii="Arial" w:hAnsi="Arial" w:cs="Arial"/>
                <w:sz w:val="21"/>
                <w:szCs w:val="21"/>
              </w:rPr>
            </w:pPr>
          </w:p>
        </w:tc>
        <w:tc>
          <w:tcPr>
            <w:tcW w:w="212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Education Manager </w:t>
            </w:r>
          </w:p>
          <w:p w:rsidR="006D4343" w:rsidRPr="006A2CD9" w:rsidRDefault="006D4343" w:rsidP="006D4343">
            <w:pPr>
              <w:rPr>
                <w:rFonts w:ascii="Arial" w:hAnsi="Arial" w:cs="Arial"/>
                <w:sz w:val="21"/>
                <w:szCs w:val="21"/>
              </w:rPr>
            </w:pPr>
          </w:p>
        </w:tc>
        <w:tc>
          <w:tcPr>
            <w:tcW w:w="1728" w:type="dxa"/>
          </w:tcPr>
          <w:p w:rsidR="006D4343" w:rsidRPr="006A2CD9" w:rsidRDefault="006D4343" w:rsidP="006D4343">
            <w:pPr>
              <w:rPr>
                <w:rFonts w:ascii="Arial" w:hAnsi="Arial" w:cs="Arial"/>
                <w:sz w:val="21"/>
                <w:szCs w:val="21"/>
              </w:rPr>
            </w:pPr>
            <w:r w:rsidRPr="006A2CD9">
              <w:rPr>
                <w:rFonts w:ascii="Arial" w:hAnsi="Arial" w:cs="Arial"/>
                <w:sz w:val="21"/>
                <w:szCs w:val="21"/>
              </w:rPr>
              <w:t>Oct-Nov 2014. Complete</w:t>
            </w:r>
          </w:p>
          <w:p w:rsidR="006D4343" w:rsidRPr="006A2CD9" w:rsidRDefault="006D4343" w:rsidP="006D4343">
            <w:pPr>
              <w:rPr>
                <w:rFonts w:ascii="Arial" w:hAnsi="Arial" w:cs="Arial"/>
                <w:sz w:val="21"/>
                <w:szCs w:val="21"/>
              </w:rPr>
            </w:pPr>
          </w:p>
        </w:tc>
      </w:tr>
      <w:tr w:rsidR="006D4343" w:rsidRPr="006A2CD9" w:rsidTr="006D4343">
        <w:tc>
          <w:tcPr>
            <w:tcW w:w="2190" w:type="dxa"/>
          </w:tcPr>
          <w:p w:rsidR="006D4343" w:rsidRPr="006A2CD9" w:rsidRDefault="006D4343" w:rsidP="006D4343">
            <w:pPr>
              <w:rPr>
                <w:rFonts w:ascii="Arial" w:hAnsi="Arial" w:cs="Arial"/>
                <w:sz w:val="21"/>
                <w:szCs w:val="21"/>
              </w:rPr>
            </w:pPr>
          </w:p>
        </w:tc>
        <w:tc>
          <w:tcPr>
            <w:tcW w:w="2187"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Ethnic minority groups (note Assembly Community Connect (ACC) is currently targeting the S75 groups of Women, people with disabilities and minority ethnic groups as per the Audit of Inequalities findings).  </w:t>
            </w:r>
          </w:p>
        </w:tc>
        <w:tc>
          <w:tcPr>
            <w:tcW w:w="2235" w:type="dxa"/>
            <w:tcBorders>
              <w:bottom w:val="nil"/>
            </w:tcBorders>
          </w:tcPr>
          <w:p w:rsidR="006D4343" w:rsidRPr="006A2CD9" w:rsidRDefault="006D4343" w:rsidP="006D4343">
            <w:pPr>
              <w:rPr>
                <w:rFonts w:ascii="Arial" w:hAnsi="Arial" w:cs="Arial"/>
                <w:sz w:val="21"/>
                <w:szCs w:val="21"/>
              </w:rPr>
            </w:pPr>
            <w:r w:rsidRPr="006A2CD9">
              <w:rPr>
                <w:rFonts w:ascii="Arial" w:hAnsi="Arial" w:cs="Arial"/>
                <w:sz w:val="21"/>
                <w:szCs w:val="21"/>
              </w:rPr>
              <w:t xml:space="preserve">To encourage increased participation in politics amongst Northern Ireland’s ethnic minority communities </w:t>
            </w:r>
          </w:p>
        </w:tc>
        <w:tc>
          <w:tcPr>
            <w:tcW w:w="2710" w:type="dxa"/>
          </w:tcPr>
          <w:p w:rsidR="006D4343" w:rsidRPr="006A2CD9" w:rsidRDefault="006D4343" w:rsidP="006D4343">
            <w:pPr>
              <w:rPr>
                <w:rFonts w:ascii="Arial" w:hAnsi="Arial" w:cs="Arial"/>
                <w:sz w:val="21"/>
                <w:szCs w:val="21"/>
              </w:rPr>
            </w:pPr>
            <w:r w:rsidRPr="006A2CD9">
              <w:rPr>
                <w:rFonts w:ascii="Arial" w:hAnsi="Arial" w:cs="Arial"/>
                <w:sz w:val="21"/>
                <w:szCs w:val="21"/>
              </w:rPr>
              <w:t>BEM Parliament</w:t>
            </w:r>
          </w:p>
          <w:p w:rsidR="006D4343" w:rsidRPr="006A2CD9" w:rsidRDefault="006D4343" w:rsidP="006D4343">
            <w:pPr>
              <w:rPr>
                <w:rFonts w:ascii="Arial" w:hAnsi="Arial" w:cs="Arial"/>
                <w:sz w:val="21"/>
                <w:szCs w:val="21"/>
              </w:rPr>
            </w:pPr>
          </w:p>
        </w:tc>
        <w:tc>
          <w:tcPr>
            <w:tcW w:w="2126" w:type="dxa"/>
          </w:tcPr>
          <w:p w:rsidR="006D4343" w:rsidRPr="006A2CD9" w:rsidRDefault="006D4343" w:rsidP="006D4343">
            <w:pPr>
              <w:rPr>
                <w:rFonts w:ascii="Arial" w:hAnsi="Arial" w:cs="Arial"/>
                <w:sz w:val="21"/>
                <w:szCs w:val="21"/>
              </w:rPr>
            </w:pPr>
          </w:p>
        </w:tc>
        <w:tc>
          <w:tcPr>
            <w:tcW w:w="1728" w:type="dxa"/>
          </w:tcPr>
          <w:p w:rsidR="006D4343" w:rsidRPr="006A2CD9" w:rsidRDefault="006D4343" w:rsidP="006D4343">
            <w:pPr>
              <w:rPr>
                <w:rFonts w:ascii="Arial" w:hAnsi="Arial" w:cs="Arial"/>
                <w:sz w:val="21"/>
                <w:szCs w:val="21"/>
              </w:rPr>
            </w:pPr>
            <w:r w:rsidRPr="006A2CD9">
              <w:rPr>
                <w:rFonts w:ascii="Arial" w:hAnsi="Arial" w:cs="Arial"/>
                <w:sz w:val="21"/>
                <w:szCs w:val="21"/>
              </w:rPr>
              <w:t>Complete</w:t>
            </w:r>
          </w:p>
        </w:tc>
      </w:tr>
      <w:tr w:rsidR="006D4343" w:rsidRPr="006A2CD9" w:rsidTr="006D4343">
        <w:tc>
          <w:tcPr>
            <w:tcW w:w="2190" w:type="dxa"/>
          </w:tcPr>
          <w:p w:rsidR="006D4343" w:rsidRPr="006A2CD9" w:rsidRDefault="006D4343" w:rsidP="006D4343">
            <w:pPr>
              <w:rPr>
                <w:rFonts w:ascii="Arial" w:hAnsi="Arial" w:cs="Arial"/>
                <w:sz w:val="21"/>
                <w:szCs w:val="21"/>
              </w:rPr>
            </w:pPr>
          </w:p>
        </w:tc>
        <w:tc>
          <w:tcPr>
            <w:tcW w:w="2187" w:type="dxa"/>
          </w:tcPr>
          <w:p w:rsidR="006D4343" w:rsidRPr="006A2CD9" w:rsidRDefault="006D4343" w:rsidP="006D4343">
            <w:pPr>
              <w:rPr>
                <w:rFonts w:ascii="Arial" w:hAnsi="Arial" w:cs="Arial"/>
                <w:sz w:val="21"/>
                <w:szCs w:val="21"/>
              </w:rPr>
            </w:pPr>
          </w:p>
        </w:tc>
        <w:tc>
          <w:tcPr>
            <w:tcW w:w="2235" w:type="dxa"/>
            <w:tcBorders>
              <w:top w:val="nil"/>
              <w:bottom w:val="single" w:sz="4" w:space="0" w:color="auto"/>
            </w:tcBorders>
          </w:tcPr>
          <w:p w:rsidR="006D4343" w:rsidRPr="006A2CD9" w:rsidRDefault="006D4343" w:rsidP="006D4343">
            <w:pPr>
              <w:rPr>
                <w:rFonts w:ascii="Arial" w:hAnsi="Arial" w:cs="Arial"/>
                <w:sz w:val="21"/>
                <w:szCs w:val="21"/>
              </w:rPr>
            </w:pPr>
          </w:p>
        </w:tc>
        <w:tc>
          <w:tcPr>
            <w:tcW w:w="2710"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‘Get Involved’ campaign and participation at </w:t>
            </w:r>
            <w:proofErr w:type="spellStart"/>
            <w:r w:rsidRPr="006A2CD9">
              <w:rPr>
                <w:rFonts w:ascii="Arial" w:hAnsi="Arial" w:cs="Arial"/>
                <w:sz w:val="21"/>
                <w:szCs w:val="21"/>
              </w:rPr>
              <w:t>Mela</w:t>
            </w:r>
            <w:proofErr w:type="spellEnd"/>
            <w:r w:rsidRPr="006A2CD9">
              <w:rPr>
                <w:rFonts w:ascii="Arial" w:hAnsi="Arial" w:cs="Arial"/>
                <w:sz w:val="21"/>
                <w:szCs w:val="21"/>
              </w:rPr>
              <w:t xml:space="preserve"> Festival </w:t>
            </w:r>
          </w:p>
        </w:tc>
        <w:tc>
          <w:tcPr>
            <w:tcW w:w="2126" w:type="dxa"/>
          </w:tcPr>
          <w:p w:rsidR="006D4343" w:rsidRPr="006A2CD9" w:rsidRDefault="006D4343" w:rsidP="006D4343">
            <w:pPr>
              <w:rPr>
                <w:rFonts w:ascii="Arial" w:hAnsi="Arial" w:cs="Arial"/>
                <w:sz w:val="21"/>
                <w:szCs w:val="21"/>
              </w:rPr>
            </w:pPr>
            <w:r w:rsidRPr="006A2CD9">
              <w:rPr>
                <w:rFonts w:ascii="Arial" w:hAnsi="Arial" w:cs="Arial"/>
                <w:sz w:val="21"/>
                <w:szCs w:val="21"/>
              </w:rPr>
              <w:t>Outreach Manager</w:t>
            </w:r>
          </w:p>
        </w:tc>
        <w:tc>
          <w:tcPr>
            <w:tcW w:w="1728" w:type="dxa"/>
          </w:tcPr>
          <w:p w:rsidR="006D4343" w:rsidRPr="006A2CD9" w:rsidRDefault="006D4343" w:rsidP="006D4343">
            <w:pPr>
              <w:rPr>
                <w:rFonts w:ascii="Arial" w:hAnsi="Arial" w:cs="Arial"/>
                <w:sz w:val="21"/>
                <w:szCs w:val="21"/>
              </w:rPr>
            </w:pPr>
            <w:r w:rsidRPr="006A2CD9">
              <w:rPr>
                <w:rFonts w:ascii="Arial" w:hAnsi="Arial" w:cs="Arial"/>
                <w:sz w:val="21"/>
                <w:szCs w:val="21"/>
              </w:rPr>
              <w:t>Complete</w:t>
            </w:r>
          </w:p>
        </w:tc>
      </w:tr>
      <w:tr w:rsidR="006D4343" w:rsidRPr="006A2CD9" w:rsidTr="006D4343">
        <w:tc>
          <w:tcPr>
            <w:tcW w:w="2190" w:type="dxa"/>
          </w:tcPr>
          <w:p w:rsidR="006D4343" w:rsidRPr="006A2CD9" w:rsidRDefault="006D4343" w:rsidP="006D4343">
            <w:pPr>
              <w:rPr>
                <w:rFonts w:ascii="Arial" w:hAnsi="Arial" w:cs="Arial"/>
                <w:sz w:val="21"/>
                <w:szCs w:val="21"/>
              </w:rPr>
            </w:pPr>
          </w:p>
        </w:tc>
        <w:tc>
          <w:tcPr>
            <w:tcW w:w="2187" w:type="dxa"/>
          </w:tcPr>
          <w:p w:rsidR="006D4343" w:rsidRPr="006A2CD9" w:rsidRDefault="006D4343" w:rsidP="006D4343">
            <w:pPr>
              <w:rPr>
                <w:rFonts w:ascii="Arial" w:hAnsi="Arial" w:cs="Arial"/>
                <w:sz w:val="21"/>
                <w:szCs w:val="21"/>
              </w:rPr>
            </w:pPr>
          </w:p>
        </w:tc>
        <w:tc>
          <w:tcPr>
            <w:tcW w:w="2235" w:type="dxa"/>
            <w:tcBorders>
              <w:top w:val="single" w:sz="4" w:space="0" w:color="auto"/>
            </w:tcBorders>
          </w:tcPr>
          <w:p w:rsidR="006D4343" w:rsidRPr="006A2CD9" w:rsidRDefault="006D4343" w:rsidP="006D4343">
            <w:pPr>
              <w:rPr>
                <w:rFonts w:ascii="Arial" w:hAnsi="Arial" w:cs="Arial"/>
                <w:sz w:val="21"/>
                <w:szCs w:val="21"/>
              </w:rPr>
            </w:pPr>
          </w:p>
        </w:tc>
        <w:tc>
          <w:tcPr>
            <w:tcW w:w="2710"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Commonwealth Day event </w:t>
            </w:r>
            <w:r w:rsidRPr="006A2CD9">
              <w:rPr>
                <w:rFonts w:ascii="Arial" w:hAnsi="Arial" w:cs="Arial"/>
                <w:sz w:val="21"/>
                <w:szCs w:val="21"/>
              </w:rPr>
              <w:lastRenderedPageBreak/>
              <w:t>at Parliament Buildings</w:t>
            </w:r>
          </w:p>
        </w:tc>
        <w:tc>
          <w:tcPr>
            <w:tcW w:w="2126" w:type="dxa"/>
          </w:tcPr>
          <w:p w:rsidR="006D4343" w:rsidRPr="006A2CD9" w:rsidRDefault="006D4343" w:rsidP="006D4343">
            <w:pPr>
              <w:rPr>
                <w:rFonts w:ascii="Arial" w:hAnsi="Arial" w:cs="Arial"/>
                <w:sz w:val="21"/>
                <w:szCs w:val="21"/>
              </w:rPr>
            </w:pPr>
            <w:r w:rsidRPr="006A2CD9">
              <w:rPr>
                <w:rFonts w:ascii="Arial" w:hAnsi="Arial" w:cs="Arial"/>
                <w:sz w:val="21"/>
                <w:szCs w:val="21"/>
              </w:rPr>
              <w:lastRenderedPageBreak/>
              <w:t>Outreach Manager</w:t>
            </w:r>
          </w:p>
        </w:tc>
        <w:tc>
          <w:tcPr>
            <w:tcW w:w="1728" w:type="dxa"/>
          </w:tcPr>
          <w:p w:rsidR="006D4343" w:rsidRPr="006A2CD9" w:rsidRDefault="006D4343" w:rsidP="006D4343">
            <w:pPr>
              <w:rPr>
                <w:rFonts w:ascii="Arial" w:hAnsi="Arial" w:cs="Arial"/>
                <w:sz w:val="21"/>
                <w:szCs w:val="21"/>
              </w:rPr>
            </w:pPr>
            <w:r w:rsidRPr="006A2CD9">
              <w:rPr>
                <w:rFonts w:ascii="Arial" w:hAnsi="Arial" w:cs="Arial"/>
                <w:sz w:val="21"/>
                <w:szCs w:val="21"/>
              </w:rPr>
              <w:t>Complete</w:t>
            </w:r>
          </w:p>
        </w:tc>
      </w:tr>
      <w:tr w:rsidR="006D4343" w:rsidRPr="006A2CD9" w:rsidTr="006D4343">
        <w:tc>
          <w:tcPr>
            <w:tcW w:w="2190" w:type="dxa"/>
          </w:tcPr>
          <w:p w:rsidR="006D4343" w:rsidRPr="006A2CD9" w:rsidRDefault="006D4343" w:rsidP="006D4343">
            <w:pPr>
              <w:rPr>
                <w:rFonts w:ascii="Arial" w:hAnsi="Arial" w:cs="Arial"/>
                <w:sz w:val="21"/>
                <w:szCs w:val="21"/>
              </w:rPr>
            </w:pPr>
          </w:p>
        </w:tc>
        <w:tc>
          <w:tcPr>
            <w:tcW w:w="2187" w:type="dxa"/>
          </w:tcPr>
          <w:p w:rsidR="006D4343" w:rsidRPr="006A2CD9" w:rsidRDefault="006D4343" w:rsidP="006D4343">
            <w:pPr>
              <w:rPr>
                <w:rFonts w:ascii="Arial" w:hAnsi="Arial" w:cs="Arial"/>
                <w:sz w:val="21"/>
                <w:szCs w:val="21"/>
              </w:rPr>
            </w:pPr>
          </w:p>
        </w:tc>
        <w:tc>
          <w:tcPr>
            <w:tcW w:w="2235" w:type="dxa"/>
          </w:tcPr>
          <w:p w:rsidR="006D4343" w:rsidRPr="006A2CD9" w:rsidRDefault="006D4343" w:rsidP="006D4343">
            <w:pPr>
              <w:rPr>
                <w:rFonts w:ascii="Arial" w:hAnsi="Arial" w:cs="Arial"/>
                <w:sz w:val="21"/>
                <w:szCs w:val="21"/>
              </w:rPr>
            </w:pPr>
            <w:r w:rsidRPr="006A2CD9">
              <w:rPr>
                <w:rFonts w:ascii="Arial" w:hAnsi="Arial" w:cs="Arial"/>
                <w:sz w:val="21"/>
                <w:szCs w:val="21"/>
              </w:rPr>
              <w:t>To encourage increased participation in politics amongst women</w:t>
            </w:r>
          </w:p>
        </w:tc>
        <w:tc>
          <w:tcPr>
            <w:tcW w:w="2710"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To complete the </w:t>
            </w:r>
            <w:proofErr w:type="spellStart"/>
            <w:r w:rsidRPr="006A2CD9">
              <w:rPr>
                <w:rFonts w:ascii="Arial" w:hAnsi="Arial" w:cs="Arial"/>
                <w:sz w:val="21"/>
                <w:szCs w:val="21"/>
              </w:rPr>
              <w:t>Cinemagic</w:t>
            </w:r>
            <w:proofErr w:type="spellEnd"/>
            <w:r w:rsidRPr="006A2CD9">
              <w:rPr>
                <w:rFonts w:ascii="Arial" w:hAnsi="Arial" w:cs="Arial"/>
                <w:sz w:val="21"/>
                <w:szCs w:val="21"/>
              </w:rPr>
              <w:t xml:space="preserve"> ‘Reel Politics’ project. Young participants wil</w:t>
            </w:r>
            <w:r w:rsidR="00D23CE3">
              <w:rPr>
                <w:rFonts w:ascii="Arial" w:hAnsi="Arial" w:cs="Arial"/>
                <w:sz w:val="21"/>
                <w:szCs w:val="21"/>
              </w:rPr>
              <w:t>l be tasked with the challenge o</w:t>
            </w:r>
            <w:r w:rsidRPr="006A2CD9">
              <w:rPr>
                <w:rFonts w:ascii="Arial" w:hAnsi="Arial" w:cs="Arial"/>
                <w:sz w:val="21"/>
                <w:szCs w:val="21"/>
              </w:rPr>
              <w:t>f creating short original films with</w:t>
            </w:r>
            <w:r w:rsidR="00D23CE3">
              <w:rPr>
                <w:rFonts w:ascii="Arial" w:hAnsi="Arial" w:cs="Arial"/>
                <w:sz w:val="21"/>
                <w:szCs w:val="21"/>
              </w:rPr>
              <w:t>in</w:t>
            </w:r>
            <w:r w:rsidRPr="006A2CD9">
              <w:rPr>
                <w:rFonts w:ascii="Arial" w:hAnsi="Arial" w:cs="Arial"/>
                <w:sz w:val="21"/>
                <w:szCs w:val="21"/>
              </w:rPr>
              <w:t xml:space="preserve"> five days about the benefits of young women in politics.</w:t>
            </w:r>
          </w:p>
        </w:tc>
        <w:tc>
          <w:tcPr>
            <w:tcW w:w="212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Outreach Manager </w:t>
            </w:r>
          </w:p>
        </w:tc>
        <w:tc>
          <w:tcPr>
            <w:tcW w:w="1728" w:type="dxa"/>
          </w:tcPr>
          <w:p w:rsidR="006D4343" w:rsidRPr="006A2CD9" w:rsidRDefault="006D4343" w:rsidP="006D4343">
            <w:pPr>
              <w:rPr>
                <w:rFonts w:ascii="Arial" w:hAnsi="Arial" w:cs="Arial"/>
                <w:sz w:val="21"/>
                <w:szCs w:val="21"/>
              </w:rPr>
            </w:pPr>
            <w:r w:rsidRPr="006A2CD9">
              <w:rPr>
                <w:rFonts w:ascii="Arial" w:hAnsi="Arial" w:cs="Arial"/>
                <w:sz w:val="21"/>
                <w:szCs w:val="21"/>
              </w:rPr>
              <w:t>Complete.</w:t>
            </w:r>
          </w:p>
        </w:tc>
      </w:tr>
      <w:tr w:rsidR="006D4343" w:rsidRPr="006A2CD9" w:rsidTr="006D4343">
        <w:tc>
          <w:tcPr>
            <w:tcW w:w="2190" w:type="dxa"/>
          </w:tcPr>
          <w:p w:rsidR="006D4343" w:rsidRPr="006A2CD9" w:rsidRDefault="006D4343" w:rsidP="006D4343">
            <w:pPr>
              <w:rPr>
                <w:rFonts w:ascii="Arial" w:hAnsi="Arial" w:cs="Arial"/>
                <w:sz w:val="21"/>
                <w:szCs w:val="21"/>
              </w:rPr>
            </w:pPr>
          </w:p>
        </w:tc>
        <w:tc>
          <w:tcPr>
            <w:tcW w:w="2187" w:type="dxa"/>
          </w:tcPr>
          <w:p w:rsidR="006D4343" w:rsidRPr="006A2CD9" w:rsidRDefault="006D4343" w:rsidP="006D4343">
            <w:pPr>
              <w:rPr>
                <w:rFonts w:ascii="Arial" w:hAnsi="Arial" w:cs="Arial"/>
                <w:sz w:val="21"/>
                <w:szCs w:val="21"/>
              </w:rPr>
            </w:pPr>
          </w:p>
        </w:tc>
        <w:tc>
          <w:tcPr>
            <w:tcW w:w="2235" w:type="dxa"/>
          </w:tcPr>
          <w:p w:rsidR="006D4343" w:rsidRPr="006A2CD9" w:rsidRDefault="006D4343" w:rsidP="006D4343">
            <w:pPr>
              <w:rPr>
                <w:rFonts w:ascii="Arial" w:hAnsi="Arial" w:cs="Arial"/>
                <w:sz w:val="21"/>
                <w:szCs w:val="21"/>
              </w:rPr>
            </w:pPr>
            <w:r w:rsidRPr="006A2CD9">
              <w:rPr>
                <w:rFonts w:ascii="Arial" w:hAnsi="Arial" w:cs="Arial"/>
                <w:sz w:val="21"/>
                <w:szCs w:val="21"/>
              </w:rPr>
              <w:t>To encourage increased participation in politics amongst women</w:t>
            </w:r>
          </w:p>
        </w:tc>
        <w:tc>
          <w:tcPr>
            <w:tcW w:w="2710"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Assembly Community Connect (ACC) to target women’s groups and provide relevant training </w:t>
            </w:r>
          </w:p>
        </w:tc>
        <w:tc>
          <w:tcPr>
            <w:tcW w:w="2126" w:type="dxa"/>
          </w:tcPr>
          <w:p w:rsidR="006D4343" w:rsidRPr="006A2CD9" w:rsidRDefault="006D4343" w:rsidP="006D4343">
            <w:pPr>
              <w:rPr>
                <w:rFonts w:ascii="Arial" w:hAnsi="Arial" w:cs="Arial"/>
                <w:sz w:val="21"/>
                <w:szCs w:val="21"/>
              </w:rPr>
            </w:pPr>
            <w:r w:rsidRPr="006A2CD9">
              <w:rPr>
                <w:rFonts w:ascii="Arial" w:hAnsi="Arial" w:cs="Arial"/>
                <w:sz w:val="21"/>
                <w:szCs w:val="21"/>
              </w:rPr>
              <w:t>Outreach Manager</w:t>
            </w:r>
          </w:p>
        </w:tc>
        <w:tc>
          <w:tcPr>
            <w:tcW w:w="1728"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6 groups received training in 2014. </w:t>
            </w:r>
          </w:p>
        </w:tc>
      </w:tr>
    </w:tbl>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Default="006D4343" w:rsidP="006D4343">
      <w:pPr>
        <w:rPr>
          <w:rFonts w:ascii="Arial" w:hAnsi="Arial" w:cs="Arial"/>
          <w:sz w:val="21"/>
          <w:szCs w:val="21"/>
        </w:rPr>
      </w:pPr>
    </w:p>
    <w:p w:rsidR="007E2AF5" w:rsidRDefault="007E2AF5" w:rsidP="006D4343">
      <w:pPr>
        <w:rPr>
          <w:rFonts w:ascii="Arial" w:hAnsi="Arial" w:cs="Arial"/>
          <w:sz w:val="21"/>
          <w:szCs w:val="21"/>
        </w:rPr>
      </w:pPr>
    </w:p>
    <w:p w:rsidR="007E2AF5" w:rsidRDefault="007E2AF5" w:rsidP="006D4343">
      <w:pPr>
        <w:rPr>
          <w:rFonts w:ascii="Arial" w:hAnsi="Arial" w:cs="Arial"/>
          <w:sz w:val="21"/>
          <w:szCs w:val="21"/>
        </w:rPr>
      </w:pPr>
    </w:p>
    <w:p w:rsidR="007E2AF5" w:rsidRPr="006A2CD9" w:rsidRDefault="007E2AF5" w:rsidP="006D4343">
      <w:pPr>
        <w:rPr>
          <w:rFonts w:ascii="Arial" w:hAnsi="Arial" w:cs="Arial"/>
          <w:sz w:val="21"/>
          <w:szCs w:val="21"/>
        </w:rPr>
      </w:pPr>
    </w:p>
    <w:p w:rsidR="006D4343" w:rsidRPr="006A2CD9" w:rsidRDefault="006D4343" w:rsidP="006D4343">
      <w:pPr>
        <w:rPr>
          <w:rFonts w:ascii="Arial" w:hAnsi="Arial" w:cs="Arial"/>
          <w:sz w:val="21"/>
          <w:szCs w:val="21"/>
        </w:rPr>
      </w:pPr>
    </w:p>
    <w:p w:rsidR="006D4343" w:rsidRPr="006A2CD9" w:rsidRDefault="006D4343" w:rsidP="006D4343">
      <w:pPr>
        <w:rPr>
          <w:rFonts w:ascii="Arial" w:hAnsi="Arial" w:cs="Arial"/>
          <w:sz w:val="21"/>
          <w:szCs w:val="21"/>
        </w:rPr>
      </w:pPr>
      <w:r w:rsidRPr="006A2CD9">
        <w:rPr>
          <w:rFonts w:ascii="Arial" w:hAnsi="Arial" w:cs="Arial"/>
          <w:sz w:val="21"/>
          <w:szCs w:val="21"/>
        </w:rPr>
        <w:t>Function Two: The recruitment and ongoing development of suitably qualified and experienced staff to support the Assembly.</w:t>
      </w:r>
    </w:p>
    <w:tbl>
      <w:tblPr>
        <w:tblStyle w:val="TableGrid"/>
        <w:tblW w:w="0" w:type="auto"/>
        <w:tblLook w:val="04A0" w:firstRow="1" w:lastRow="0" w:firstColumn="1" w:lastColumn="0" w:noHBand="0" w:noVBand="1"/>
      </w:tblPr>
      <w:tblGrid>
        <w:gridCol w:w="2196"/>
        <w:gridCol w:w="2196"/>
        <w:gridCol w:w="2196"/>
        <w:gridCol w:w="2196"/>
        <w:gridCol w:w="2196"/>
        <w:gridCol w:w="2196"/>
      </w:tblGrid>
      <w:tr w:rsidR="006D4343" w:rsidRPr="006A2CD9" w:rsidTr="006D4343">
        <w:trPr>
          <w:tblHeader/>
        </w:trPr>
        <w:tc>
          <w:tcPr>
            <w:tcW w:w="2196" w:type="dxa"/>
          </w:tcPr>
          <w:p w:rsidR="006D4343" w:rsidRPr="00F1075A" w:rsidRDefault="006D4343" w:rsidP="006D4343">
            <w:pPr>
              <w:rPr>
                <w:rFonts w:ascii="Arial" w:hAnsi="Arial" w:cs="Arial"/>
                <w:b/>
                <w:sz w:val="28"/>
                <w:szCs w:val="28"/>
              </w:rPr>
            </w:pPr>
            <w:r w:rsidRPr="00F1075A">
              <w:rPr>
                <w:rFonts w:ascii="Arial" w:hAnsi="Arial" w:cs="Arial"/>
                <w:b/>
                <w:sz w:val="28"/>
                <w:szCs w:val="28"/>
              </w:rPr>
              <w:lastRenderedPageBreak/>
              <w:t>Inequality Identified</w:t>
            </w:r>
          </w:p>
        </w:tc>
        <w:tc>
          <w:tcPr>
            <w:tcW w:w="2196" w:type="dxa"/>
          </w:tcPr>
          <w:p w:rsidR="006D4343" w:rsidRPr="00F1075A" w:rsidRDefault="006D4343" w:rsidP="006D4343">
            <w:pPr>
              <w:rPr>
                <w:rFonts w:ascii="Arial" w:hAnsi="Arial" w:cs="Arial"/>
                <w:b/>
                <w:sz w:val="28"/>
                <w:szCs w:val="28"/>
              </w:rPr>
            </w:pPr>
            <w:r w:rsidRPr="00F1075A">
              <w:rPr>
                <w:rFonts w:ascii="Arial" w:hAnsi="Arial" w:cs="Arial"/>
                <w:b/>
                <w:sz w:val="28"/>
                <w:szCs w:val="28"/>
              </w:rPr>
              <w:t>Section 75 Categories</w:t>
            </w:r>
          </w:p>
        </w:tc>
        <w:tc>
          <w:tcPr>
            <w:tcW w:w="2196" w:type="dxa"/>
          </w:tcPr>
          <w:p w:rsidR="006D4343" w:rsidRPr="00F1075A" w:rsidRDefault="006D4343" w:rsidP="006D4343">
            <w:pPr>
              <w:rPr>
                <w:rFonts w:ascii="Arial" w:hAnsi="Arial" w:cs="Arial"/>
                <w:b/>
                <w:sz w:val="28"/>
                <w:szCs w:val="28"/>
              </w:rPr>
            </w:pPr>
            <w:r w:rsidRPr="00F1075A">
              <w:rPr>
                <w:rFonts w:ascii="Arial" w:hAnsi="Arial" w:cs="Arial"/>
                <w:b/>
                <w:sz w:val="28"/>
                <w:szCs w:val="28"/>
              </w:rPr>
              <w:t>Performance Indicators</w:t>
            </w:r>
          </w:p>
        </w:tc>
        <w:tc>
          <w:tcPr>
            <w:tcW w:w="2196" w:type="dxa"/>
          </w:tcPr>
          <w:p w:rsidR="006D4343" w:rsidRPr="00F1075A" w:rsidRDefault="006D4343" w:rsidP="006D4343">
            <w:pPr>
              <w:rPr>
                <w:rFonts w:ascii="Arial" w:hAnsi="Arial" w:cs="Arial"/>
                <w:b/>
                <w:sz w:val="28"/>
                <w:szCs w:val="28"/>
              </w:rPr>
            </w:pPr>
            <w:r w:rsidRPr="00F1075A">
              <w:rPr>
                <w:rFonts w:ascii="Arial" w:hAnsi="Arial" w:cs="Arial"/>
                <w:b/>
                <w:sz w:val="28"/>
                <w:szCs w:val="28"/>
              </w:rPr>
              <w:t>Action Measures</w:t>
            </w:r>
          </w:p>
        </w:tc>
        <w:tc>
          <w:tcPr>
            <w:tcW w:w="2196" w:type="dxa"/>
          </w:tcPr>
          <w:p w:rsidR="006D4343" w:rsidRPr="00F1075A" w:rsidRDefault="006D4343" w:rsidP="006D4343">
            <w:pPr>
              <w:rPr>
                <w:rFonts w:ascii="Arial" w:hAnsi="Arial" w:cs="Arial"/>
                <w:b/>
                <w:sz w:val="28"/>
                <w:szCs w:val="28"/>
              </w:rPr>
            </w:pPr>
            <w:r w:rsidRPr="00F1075A">
              <w:rPr>
                <w:rFonts w:ascii="Arial" w:hAnsi="Arial" w:cs="Arial"/>
                <w:b/>
                <w:sz w:val="28"/>
                <w:szCs w:val="28"/>
              </w:rPr>
              <w:t xml:space="preserve">Lead Responsibility </w:t>
            </w:r>
          </w:p>
        </w:tc>
        <w:tc>
          <w:tcPr>
            <w:tcW w:w="2196" w:type="dxa"/>
          </w:tcPr>
          <w:p w:rsidR="006D4343" w:rsidRPr="00F1075A" w:rsidRDefault="006D4343" w:rsidP="006D4343">
            <w:pPr>
              <w:rPr>
                <w:rFonts w:ascii="Arial" w:hAnsi="Arial" w:cs="Arial"/>
                <w:b/>
                <w:sz w:val="28"/>
                <w:szCs w:val="28"/>
              </w:rPr>
            </w:pPr>
            <w:r w:rsidRPr="00F1075A">
              <w:rPr>
                <w:rFonts w:ascii="Arial" w:hAnsi="Arial" w:cs="Arial"/>
                <w:b/>
                <w:sz w:val="28"/>
                <w:szCs w:val="28"/>
              </w:rPr>
              <w:t>Timescale</w:t>
            </w:r>
          </w:p>
        </w:tc>
      </w:tr>
      <w:tr w:rsidR="006D4343" w:rsidRPr="006A2CD9" w:rsidTr="006D4343">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Recruitment and Selection </w:t>
            </w:r>
          </w:p>
          <w:p w:rsidR="006D4343" w:rsidRPr="006A2CD9" w:rsidRDefault="006D4343" w:rsidP="006D4343">
            <w:pPr>
              <w:rPr>
                <w:rFonts w:ascii="Arial" w:hAnsi="Arial" w:cs="Arial"/>
                <w:sz w:val="21"/>
                <w:szCs w:val="21"/>
              </w:rPr>
            </w:pPr>
            <w:r w:rsidRPr="006A2CD9">
              <w:rPr>
                <w:rFonts w:ascii="Arial" w:hAnsi="Arial" w:cs="Arial"/>
                <w:sz w:val="21"/>
                <w:szCs w:val="21"/>
              </w:rPr>
              <w:t xml:space="preserve">(Theme 2a of Audit of Inequalities) </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All </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Ensuring that all recruitment competitions are fully accessible</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Apply welcome statements or affirmative action if appropriate in consultation with the Equality Commission for NI. </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Head of HR</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Ongoing. The procedures for internal and external recruitment have been reviewed to ensure compliance with good practice. A guaranteed interview scheme has been implemented for both internal and external recruitment</w:t>
            </w:r>
          </w:p>
        </w:tc>
      </w:tr>
      <w:tr w:rsidR="006D4343" w:rsidRPr="006A2CD9" w:rsidTr="006D4343">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Recruitment and Selection </w:t>
            </w:r>
          </w:p>
          <w:p w:rsidR="006D4343" w:rsidRPr="006A2CD9" w:rsidRDefault="006D4343" w:rsidP="006D4343">
            <w:pPr>
              <w:rPr>
                <w:rFonts w:ascii="Arial" w:hAnsi="Arial" w:cs="Arial"/>
                <w:sz w:val="21"/>
                <w:szCs w:val="21"/>
              </w:rPr>
            </w:pPr>
            <w:r w:rsidRPr="006A2CD9">
              <w:rPr>
                <w:rFonts w:ascii="Arial" w:hAnsi="Arial" w:cs="Arial"/>
                <w:sz w:val="21"/>
                <w:szCs w:val="21"/>
              </w:rPr>
              <w:t>(Theme 2b of Audit of Inequalities)</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All </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To work to continue improving workplace relations</w:t>
            </w:r>
          </w:p>
          <w:p w:rsidR="006D4343" w:rsidRPr="006A2CD9" w:rsidRDefault="006D4343" w:rsidP="006D4343">
            <w:pPr>
              <w:rPr>
                <w:rFonts w:ascii="Arial" w:hAnsi="Arial" w:cs="Arial"/>
                <w:sz w:val="21"/>
                <w:szCs w:val="21"/>
              </w:rPr>
            </w:pP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Compare the results of the 2010 and 2012 staff surveys </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Head of HR/ Head of Corporate Support Unit</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Complete. An action plan was established to take forward issues arising from the staff survey, including a targeted initiative to address problematic workplace relations</w:t>
            </w:r>
          </w:p>
        </w:tc>
      </w:tr>
      <w:tr w:rsidR="006D4343" w:rsidRPr="006A2CD9" w:rsidTr="006D4343">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Recruitment and Selection </w:t>
            </w:r>
          </w:p>
          <w:p w:rsidR="006D4343" w:rsidRPr="006A2CD9" w:rsidRDefault="006D4343" w:rsidP="006D4343">
            <w:pPr>
              <w:rPr>
                <w:rFonts w:ascii="Arial" w:hAnsi="Arial" w:cs="Arial"/>
                <w:sz w:val="21"/>
                <w:szCs w:val="21"/>
              </w:rPr>
            </w:pPr>
            <w:r w:rsidRPr="006A2CD9">
              <w:rPr>
                <w:rFonts w:ascii="Arial" w:hAnsi="Arial" w:cs="Arial"/>
                <w:sz w:val="21"/>
                <w:szCs w:val="21"/>
              </w:rPr>
              <w:t>(Theme 2b of Audit of Inequalities)</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All </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 xml:space="preserve">Use the results of the staff survey 2010 and the </w:t>
            </w:r>
            <w:proofErr w:type="spellStart"/>
            <w:r w:rsidRPr="006A2CD9">
              <w:rPr>
                <w:rFonts w:ascii="Arial" w:hAnsi="Arial" w:cs="Arial"/>
                <w:sz w:val="21"/>
                <w:szCs w:val="21"/>
              </w:rPr>
              <w:t>Carecall</w:t>
            </w:r>
            <w:proofErr w:type="spellEnd"/>
            <w:r w:rsidRPr="006A2CD9">
              <w:rPr>
                <w:rFonts w:ascii="Arial" w:hAnsi="Arial" w:cs="Arial"/>
                <w:sz w:val="21"/>
                <w:szCs w:val="21"/>
              </w:rPr>
              <w:t xml:space="preserve"> report 2011 to produce and implement an action plan</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Monitor the progress of the implementation of this action plan</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Head of HR/ Head of Corporate Support Unit</w:t>
            </w:r>
          </w:p>
        </w:tc>
        <w:tc>
          <w:tcPr>
            <w:tcW w:w="2196" w:type="dxa"/>
          </w:tcPr>
          <w:p w:rsidR="006D4343" w:rsidRPr="006A2CD9" w:rsidRDefault="006D4343" w:rsidP="006D4343">
            <w:pPr>
              <w:rPr>
                <w:rFonts w:ascii="Arial" w:hAnsi="Arial" w:cs="Arial"/>
                <w:sz w:val="21"/>
                <w:szCs w:val="21"/>
              </w:rPr>
            </w:pPr>
            <w:r w:rsidRPr="006A2CD9">
              <w:rPr>
                <w:rFonts w:ascii="Arial" w:hAnsi="Arial" w:cs="Arial"/>
                <w:sz w:val="21"/>
                <w:szCs w:val="21"/>
              </w:rPr>
              <w:t>Complete. A further comparison from 2012 with the results from the impending 2014 survey will be made, and required actions identified</w:t>
            </w:r>
          </w:p>
        </w:tc>
      </w:tr>
    </w:tbl>
    <w:p w:rsidR="00F13174" w:rsidRDefault="00F13174" w:rsidP="00BA2078">
      <w:pPr>
        <w:rPr>
          <w:rFonts w:ascii="Arial" w:hAnsi="Arial" w:cs="Arial"/>
          <w:sz w:val="21"/>
          <w:szCs w:val="21"/>
        </w:rPr>
        <w:sectPr w:rsidR="00F13174" w:rsidSect="006D4343">
          <w:headerReference w:type="default" r:id="rId9"/>
          <w:pgSz w:w="16840" w:h="11907" w:orient="landscape" w:code="9"/>
          <w:pgMar w:top="1440" w:right="1440" w:bottom="1134" w:left="1440" w:header="709" w:footer="709" w:gutter="0"/>
          <w:cols w:space="708"/>
          <w:docGrid w:linePitch="360"/>
        </w:sectPr>
      </w:pPr>
    </w:p>
    <w:p w:rsidR="006D4343" w:rsidRPr="00AD241C" w:rsidRDefault="006D4343" w:rsidP="007E2AF5">
      <w:pPr>
        <w:rPr>
          <w:sz w:val="24"/>
          <w:szCs w:val="24"/>
        </w:rPr>
      </w:pPr>
    </w:p>
    <w:sectPr w:rsidR="006D4343" w:rsidRPr="00AD241C" w:rsidSect="00F13174">
      <w:pgSz w:w="11907" w:h="16840" w:code="9"/>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788" w:rsidRDefault="002C6788" w:rsidP="00161476">
      <w:pPr>
        <w:spacing w:after="0" w:line="240" w:lineRule="auto"/>
      </w:pPr>
      <w:r>
        <w:separator/>
      </w:r>
    </w:p>
  </w:endnote>
  <w:endnote w:type="continuationSeparator" w:id="0">
    <w:p w:rsidR="002C6788" w:rsidRDefault="002C6788" w:rsidP="00161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ITC Stone Sans Std Medium">
    <w:panose1 w:val="00000000000000000000"/>
    <w:charset w:val="00"/>
    <w:family w:val="swiss"/>
    <w:notTrueType/>
    <w:pitch w:val="variable"/>
    <w:sig w:usb0="00000003" w:usb1="00000000" w:usb2="00000000" w:usb3="00000000" w:csb0="00000001" w:csb1="00000000"/>
  </w:font>
  <w:font w:name="ITC Franklin Gothic Book">
    <w:altName w:val="Bell MT"/>
    <w:charset w:val="00"/>
    <w:family w:val="auto"/>
    <w:pitch w:val="variable"/>
    <w:sig w:usb0="00000003" w:usb1="00000000" w:usb2="00000000" w:usb3="00000000" w:csb0="00000001" w:csb1="00000000"/>
  </w:font>
  <w:font w:name="ITC Stone Sans Medium">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788" w:rsidRDefault="002C6788" w:rsidP="00161476">
      <w:pPr>
        <w:spacing w:after="0" w:line="240" w:lineRule="auto"/>
      </w:pPr>
      <w:r>
        <w:separator/>
      </w:r>
    </w:p>
  </w:footnote>
  <w:footnote w:type="continuationSeparator" w:id="0">
    <w:p w:rsidR="002C6788" w:rsidRDefault="002C6788" w:rsidP="001614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788" w:rsidRDefault="002C6788">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8CF"/>
    <w:multiLevelType w:val="hybridMultilevel"/>
    <w:tmpl w:val="ABA0A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D143E7"/>
    <w:multiLevelType w:val="hybridMultilevel"/>
    <w:tmpl w:val="401CE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C076D7"/>
    <w:multiLevelType w:val="multilevel"/>
    <w:tmpl w:val="0809001D"/>
    <w:styleLink w:val="Style1"/>
    <w:lvl w:ilvl="0">
      <w:start w:val="1"/>
      <w:numFmt w:val="decimal"/>
      <w:lvlText w:val="%1"/>
      <w:lvlJc w:val="left"/>
      <w:pPr>
        <w:ind w:left="360" w:hanging="360"/>
      </w:pPr>
      <w:rPr>
        <w:rFonts w:ascii="Times New Roman" w:hAnsi="Times New Roman" w:hint="default"/>
        <w:color w:val="548DD4" w:themeColor="text2" w:themeTint="9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4FD100B"/>
    <w:multiLevelType w:val="hybridMultilevel"/>
    <w:tmpl w:val="55F8742C"/>
    <w:lvl w:ilvl="0" w:tplc="0B9244F6">
      <w:start w:val="1"/>
      <w:numFmt w:val="bullet"/>
      <w:pStyle w:val="B2BodyTextBullet1"/>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4">
    <w:nsid w:val="056F31EE"/>
    <w:multiLevelType w:val="hybridMultilevel"/>
    <w:tmpl w:val="5DC6E0DE"/>
    <w:lvl w:ilvl="0" w:tplc="3C503596">
      <w:start w:val="1"/>
      <w:numFmt w:val="bullet"/>
      <w:lvlText w:val="•"/>
      <w:lvlJc w:val="left"/>
      <w:pPr>
        <w:tabs>
          <w:tab w:val="num" w:pos="720"/>
        </w:tabs>
        <w:ind w:left="720" w:hanging="360"/>
      </w:pPr>
      <w:rPr>
        <w:rFonts w:ascii="Arial" w:hAnsi="Arial" w:hint="default"/>
      </w:rPr>
    </w:lvl>
    <w:lvl w:ilvl="1" w:tplc="11007FB6" w:tentative="1">
      <w:start w:val="1"/>
      <w:numFmt w:val="bullet"/>
      <w:lvlText w:val="•"/>
      <w:lvlJc w:val="left"/>
      <w:pPr>
        <w:tabs>
          <w:tab w:val="num" w:pos="1440"/>
        </w:tabs>
        <w:ind w:left="1440" w:hanging="360"/>
      </w:pPr>
      <w:rPr>
        <w:rFonts w:ascii="Arial" w:hAnsi="Arial" w:hint="default"/>
      </w:rPr>
    </w:lvl>
    <w:lvl w:ilvl="2" w:tplc="DFE4B57C" w:tentative="1">
      <w:start w:val="1"/>
      <w:numFmt w:val="bullet"/>
      <w:lvlText w:val="•"/>
      <w:lvlJc w:val="left"/>
      <w:pPr>
        <w:tabs>
          <w:tab w:val="num" w:pos="2160"/>
        </w:tabs>
        <w:ind w:left="2160" w:hanging="360"/>
      </w:pPr>
      <w:rPr>
        <w:rFonts w:ascii="Arial" w:hAnsi="Arial" w:hint="default"/>
      </w:rPr>
    </w:lvl>
    <w:lvl w:ilvl="3" w:tplc="E19A68E8" w:tentative="1">
      <w:start w:val="1"/>
      <w:numFmt w:val="bullet"/>
      <w:lvlText w:val="•"/>
      <w:lvlJc w:val="left"/>
      <w:pPr>
        <w:tabs>
          <w:tab w:val="num" w:pos="2880"/>
        </w:tabs>
        <w:ind w:left="2880" w:hanging="360"/>
      </w:pPr>
      <w:rPr>
        <w:rFonts w:ascii="Arial" w:hAnsi="Arial" w:hint="default"/>
      </w:rPr>
    </w:lvl>
    <w:lvl w:ilvl="4" w:tplc="2054BDB6" w:tentative="1">
      <w:start w:val="1"/>
      <w:numFmt w:val="bullet"/>
      <w:lvlText w:val="•"/>
      <w:lvlJc w:val="left"/>
      <w:pPr>
        <w:tabs>
          <w:tab w:val="num" w:pos="3600"/>
        </w:tabs>
        <w:ind w:left="3600" w:hanging="360"/>
      </w:pPr>
      <w:rPr>
        <w:rFonts w:ascii="Arial" w:hAnsi="Arial" w:hint="default"/>
      </w:rPr>
    </w:lvl>
    <w:lvl w:ilvl="5" w:tplc="80E2D4FA" w:tentative="1">
      <w:start w:val="1"/>
      <w:numFmt w:val="bullet"/>
      <w:lvlText w:val="•"/>
      <w:lvlJc w:val="left"/>
      <w:pPr>
        <w:tabs>
          <w:tab w:val="num" w:pos="4320"/>
        </w:tabs>
        <w:ind w:left="4320" w:hanging="360"/>
      </w:pPr>
      <w:rPr>
        <w:rFonts w:ascii="Arial" w:hAnsi="Arial" w:hint="default"/>
      </w:rPr>
    </w:lvl>
    <w:lvl w:ilvl="6" w:tplc="14DA72FC" w:tentative="1">
      <w:start w:val="1"/>
      <w:numFmt w:val="bullet"/>
      <w:lvlText w:val="•"/>
      <w:lvlJc w:val="left"/>
      <w:pPr>
        <w:tabs>
          <w:tab w:val="num" w:pos="5040"/>
        </w:tabs>
        <w:ind w:left="5040" w:hanging="360"/>
      </w:pPr>
      <w:rPr>
        <w:rFonts w:ascii="Arial" w:hAnsi="Arial" w:hint="default"/>
      </w:rPr>
    </w:lvl>
    <w:lvl w:ilvl="7" w:tplc="96360952" w:tentative="1">
      <w:start w:val="1"/>
      <w:numFmt w:val="bullet"/>
      <w:lvlText w:val="•"/>
      <w:lvlJc w:val="left"/>
      <w:pPr>
        <w:tabs>
          <w:tab w:val="num" w:pos="5760"/>
        </w:tabs>
        <w:ind w:left="5760" w:hanging="360"/>
      </w:pPr>
      <w:rPr>
        <w:rFonts w:ascii="Arial" w:hAnsi="Arial" w:hint="default"/>
      </w:rPr>
    </w:lvl>
    <w:lvl w:ilvl="8" w:tplc="DE9ED14C" w:tentative="1">
      <w:start w:val="1"/>
      <w:numFmt w:val="bullet"/>
      <w:lvlText w:val="•"/>
      <w:lvlJc w:val="left"/>
      <w:pPr>
        <w:tabs>
          <w:tab w:val="num" w:pos="6480"/>
        </w:tabs>
        <w:ind w:left="6480" w:hanging="360"/>
      </w:pPr>
      <w:rPr>
        <w:rFonts w:ascii="Arial" w:hAnsi="Arial" w:hint="default"/>
      </w:rPr>
    </w:lvl>
  </w:abstractNum>
  <w:abstractNum w:abstractNumId="5">
    <w:nsid w:val="0656368E"/>
    <w:multiLevelType w:val="hybridMultilevel"/>
    <w:tmpl w:val="B6CE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554653"/>
    <w:multiLevelType w:val="hybridMultilevel"/>
    <w:tmpl w:val="33A8324C"/>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D61750B"/>
    <w:multiLevelType w:val="hybridMultilevel"/>
    <w:tmpl w:val="233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416C8E"/>
    <w:multiLevelType w:val="hybridMultilevel"/>
    <w:tmpl w:val="4D983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7C504CD"/>
    <w:multiLevelType w:val="hybridMultilevel"/>
    <w:tmpl w:val="C8B68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A4041CA"/>
    <w:multiLevelType w:val="hybridMultilevel"/>
    <w:tmpl w:val="5D4A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4A21C6"/>
    <w:multiLevelType w:val="hybridMultilevel"/>
    <w:tmpl w:val="D478A79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21336AB4"/>
    <w:multiLevelType w:val="hybridMultilevel"/>
    <w:tmpl w:val="759C5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DF16DD"/>
    <w:multiLevelType w:val="hybridMultilevel"/>
    <w:tmpl w:val="915AD55E"/>
    <w:lvl w:ilvl="0" w:tplc="FBDCE0A8">
      <w:start w:val="1"/>
      <w:numFmt w:val="bullet"/>
      <w:lvlText w:val="•"/>
      <w:lvlJc w:val="left"/>
      <w:pPr>
        <w:tabs>
          <w:tab w:val="num" w:pos="720"/>
        </w:tabs>
        <w:ind w:left="720" w:hanging="360"/>
      </w:pPr>
      <w:rPr>
        <w:rFonts w:ascii="Arial" w:hAnsi="Arial" w:hint="default"/>
      </w:rPr>
    </w:lvl>
    <w:lvl w:ilvl="1" w:tplc="1E2E1F22" w:tentative="1">
      <w:start w:val="1"/>
      <w:numFmt w:val="bullet"/>
      <w:lvlText w:val="•"/>
      <w:lvlJc w:val="left"/>
      <w:pPr>
        <w:tabs>
          <w:tab w:val="num" w:pos="1440"/>
        </w:tabs>
        <w:ind w:left="1440" w:hanging="360"/>
      </w:pPr>
      <w:rPr>
        <w:rFonts w:ascii="Arial" w:hAnsi="Arial" w:hint="default"/>
      </w:rPr>
    </w:lvl>
    <w:lvl w:ilvl="2" w:tplc="9F6205A8" w:tentative="1">
      <w:start w:val="1"/>
      <w:numFmt w:val="bullet"/>
      <w:lvlText w:val="•"/>
      <w:lvlJc w:val="left"/>
      <w:pPr>
        <w:tabs>
          <w:tab w:val="num" w:pos="2160"/>
        </w:tabs>
        <w:ind w:left="2160" w:hanging="360"/>
      </w:pPr>
      <w:rPr>
        <w:rFonts w:ascii="Arial" w:hAnsi="Arial" w:hint="default"/>
      </w:rPr>
    </w:lvl>
    <w:lvl w:ilvl="3" w:tplc="4342A16E" w:tentative="1">
      <w:start w:val="1"/>
      <w:numFmt w:val="bullet"/>
      <w:lvlText w:val="•"/>
      <w:lvlJc w:val="left"/>
      <w:pPr>
        <w:tabs>
          <w:tab w:val="num" w:pos="2880"/>
        </w:tabs>
        <w:ind w:left="2880" w:hanging="360"/>
      </w:pPr>
      <w:rPr>
        <w:rFonts w:ascii="Arial" w:hAnsi="Arial" w:hint="default"/>
      </w:rPr>
    </w:lvl>
    <w:lvl w:ilvl="4" w:tplc="720CBA00" w:tentative="1">
      <w:start w:val="1"/>
      <w:numFmt w:val="bullet"/>
      <w:lvlText w:val="•"/>
      <w:lvlJc w:val="left"/>
      <w:pPr>
        <w:tabs>
          <w:tab w:val="num" w:pos="3600"/>
        </w:tabs>
        <w:ind w:left="3600" w:hanging="360"/>
      </w:pPr>
      <w:rPr>
        <w:rFonts w:ascii="Arial" w:hAnsi="Arial" w:hint="default"/>
      </w:rPr>
    </w:lvl>
    <w:lvl w:ilvl="5" w:tplc="362A465C" w:tentative="1">
      <w:start w:val="1"/>
      <w:numFmt w:val="bullet"/>
      <w:lvlText w:val="•"/>
      <w:lvlJc w:val="left"/>
      <w:pPr>
        <w:tabs>
          <w:tab w:val="num" w:pos="4320"/>
        </w:tabs>
        <w:ind w:left="4320" w:hanging="360"/>
      </w:pPr>
      <w:rPr>
        <w:rFonts w:ascii="Arial" w:hAnsi="Arial" w:hint="default"/>
      </w:rPr>
    </w:lvl>
    <w:lvl w:ilvl="6" w:tplc="B39876D8" w:tentative="1">
      <w:start w:val="1"/>
      <w:numFmt w:val="bullet"/>
      <w:lvlText w:val="•"/>
      <w:lvlJc w:val="left"/>
      <w:pPr>
        <w:tabs>
          <w:tab w:val="num" w:pos="5040"/>
        </w:tabs>
        <w:ind w:left="5040" w:hanging="360"/>
      </w:pPr>
      <w:rPr>
        <w:rFonts w:ascii="Arial" w:hAnsi="Arial" w:hint="default"/>
      </w:rPr>
    </w:lvl>
    <w:lvl w:ilvl="7" w:tplc="D8F2573E" w:tentative="1">
      <w:start w:val="1"/>
      <w:numFmt w:val="bullet"/>
      <w:lvlText w:val="•"/>
      <w:lvlJc w:val="left"/>
      <w:pPr>
        <w:tabs>
          <w:tab w:val="num" w:pos="5760"/>
        </w:tabs>
        <w:ind w:left="5760" w:hanging="360"/>
      </w:pPr>
      <w:rPr>
        <w:rFonts w:ascii="Arial" w:hAnsi="Arial" w:hint="default"/>
      </w:rPr>
    </w:lvl>
    <w:lvl w:ilvl="8" w:tplc="39C8FDBC" w:tentative="1">
      <w:start w:val="1"/>
      <w:numFmt w:val="bullet"/>
      <w:lvlText w:val="•"/>
      <w:lvlJc w:val="left"/>
      <w:pPr>
        <w:tabs>
          <w:tab w:val="num" w:pos="6480"/>
        </w:tabs>
        <w:ind w:left="6480" w:hanging="360"/>
      </w:pPr>
      <w:rPr>
        <w:rFonts w:ascii="Arial" w:hAnsi="Arial" w:hint="default"/>
      </w:rPr>
    </w:lvl>
  </w:abstractNum>
  <w:abstractNum w:abstractNumId="14">
    <w:nsid w:val="2DFA1AF4"/>
    <w:multiLevelType w:val="hybridMultilevel"/>
    <w:tmpl w:val="240AF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FA641F9"/>
    <w:multiLevelType w:val="hybridMultilevel"/>
    <w:tmpl w:val="4686DC92"/>
    <w:lvl w:ilvl="0" w:tplc="843A2216">
      <w:start w:val="1"/>
      <w:numFmt w:val="lowerLetter"/>
      <w:lvlText w:val="%1)"/>
      <w:lvlJc w:val="left"/>
      <w:pPr>
        <w:ind w:left="72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8E85B63"/>
    <w:multiLevelType w:val="hybridMultilevel"/>
    <w:tmpl w:val="5D1A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466DB2"/>
    <w:multiLevelType w:val="hybridMultilevel"/>
    <w:tmpl w:val="267850BE"/>
    <w:lvl w:ilvl="0" w:tplc="14E041D2">
      <w:start w:val="1"/>
      <w:numFmt w:val="bullet"/>
      <w:lvlText w:val="•"/>
      <w:lvlJc w:val="left"/>
      <w:pPr>
        <w:tabs>
          <w:tab w:val="num" w:pos="720"/>
        </w:tabs>
        <w:ind w:left="720" w:hanging="360"/>
      </w:pPr>
      <w:rPr>
        <w:rFonts w:ascii="Arial" w:hAnsi="Arial" w:hint="default"/>
      </w:rPr>
    </w:lvl>
    <w:lvl w:ilvl="1" w:tplc="97646418" w:tentative="1">
      <w:start w:val="1"/>
      <w:numFmt w:val="bullet"/>
      <w:lvlText w:val="•"/>
      <w:lvlJc w:val="left"/>
      <w:pPr>
        <w:tabs>
          <w:tab w:val="num" w:pos="1440"/>
        </w:tabs>
        <w:ind w:left="1440" w:hanging="360"/>
      </w:pPr>
      <w:rPr>
        <w:rFonts w:ascii="Arial" w:hAnsi="Arial" w:hint="default"/>
      </w:rPr>
    </w:lvl>
    <w:lvl w:ilvl="2" w:tplc="73D08E4C" w:tentative="1">
      <w:start w:val="1"/>
      <w:numFmt w:val="bullet"/>
      <w:lvlText w:val="•"/>
      <w:lvlJc w:val="left"/>
      <w:pPr>
        <w:tabs>
          <w:tab w:val="num" w:pos="2160"/>
        </w:tabs>
        <w:ind w:left="2160" w:hanging="360"/>
      </w:pPr>
      <w:rPr>
        <w:rFonts w:ascii="Arial" w:hAnsi="Arial" w:hint="default"/>
      </w:rPr>
    </w:lvl>
    <w:lvl w:ilvl="3" w:tplc="5A8643DE" w:tentative="1">
      <w:start w:val="1"/>
      <w:numFmt w:val="bullet"/>
      <w:lvlText w:val="•"/>
      <w:lvlJc w:val="left"/>
      <w:pPr>
        <w:tabs>
          <w:tab w:val="num" w:pos="2880"/>
        </w:tabs>
        <w:ind w:left="2880" w:hanging="360"/>
      </w:pPr>
      <w:rPr>
        <w:rFonts w:ascii="Arial" w:hAnsi="Arial" w:hint="default"/>
      </w:rPr>
    </w:lvl>
    <w:lvl w:ilvl="4" w:tplc="196EFA60" w:tentative="1">
      <w:start w:val="1"/>
      <w:numFmt w:val="bullet"/>
      <w:lvlText w:val="•"/>
      <w:lvlJc w:val="left"/>
      <w:pPr>
        <w:tabs>
          <w:tab w:val="num" w:pos="3600"/>
        </w:tabs>
        <w:ind w:left="3600" w:hanging="360"/>
      </w:pPr>
      <w:rPr>
        <w:rFonts w:ascii="Arial" w:hAnsi="Arial" w:hint="default"/>
      </w:rPr>
    </w:lvl>
    <w:lvl w:ilvl="5" w:tplc="E3E8FBDC" w:tentative="1">
      <w:start w:val="1"/>
      <w:numFmt w:val="bullet"/>
      <w:lvlText w:val="•"/>
      <w:lvlJc w:val="left"/>
      <w:pPr>
        <w:tabs>
          <w:tab w:val="num" w:pos="4320"/>
        </w:tabs>
        <w:ind w:left="4320" w:hanging="360"/>
      </w:pPr>
      <w:rPr>
        <w:rFonts w:ascii="Arial" w:hAnsi="Arial" w:hint="default"/>
      </w:rPr>
    </w:lvl>
    <w:lvl w:ilvl="6" w:tplc="DEC25C1A" w:tentative="1">
      <w:start w:val="1"/>
      <w:numFmt w:val="bullet"/>
      <w:lvlText w:val="•"/>
      <w:lvlJc w:val="left"/>
      <w:pPr>
        <w:tabs>
          <w:tab w:val="num" w:pos="5040"/>
        </w:tabs>
        <w:ind w:left="5040" w:hanging="360"/>
      </w:pPr>
      <w:rPr>
        <w:rFonts w:ascii="Arial" w:hAnsi="Arial" w:hint="default"/>
      </w:rPr>
    </w:lvl>
    <w:lvl w:ilvl="7" w:tplc="C2B2D3FE" w:tentative="1">
      <w:start w:val="1"/>
      <w:numFmt w:val="bullet"/>
      <w:lvlText w:val="•"/>
      <w:lvlJc w:val="left"/>
      <w:pPr>
        <w:tabs>
          <w:tab w:val="num" w:pos="5760"/>
        </w:tabs>
        <w:ind w:left="5760" w:hanging="360"/>
      </w:pPr>
      <w:rPr>
        <w:rFonts w:ascii="Arial" w:hAnsi="Arial" w:hint="default"/>
      </w:rPr>
    </w:lvl>
    <w:lvl w:ilvl="8" w:tplc="33F81F9A" w:tentative="1">
      <w:start w:val="1"/>
      <w:numFmt w:val="bullet"/>
      <w:lvlText w:val="•"/>
      <w:lvlJc w:val="left"/>
      <w:pPr>
        <w:tabs>
          <w:tab w:val="num" w:pos="6480"/>
        </w:tabs>
        <w:ind w:left="6480" w:hanging="360"/>
      </w:pPr>
      <w:rPr>
        <w:rFonts w:ascii="Arial" w:hAnsi="Arial" w:hint="default"/>
      </w:rPr>
    </w:lvl>
  </w:abstractNum>
  <w:abstractNum w:abstractNumId="18">
    <w:nsid w:val="44A4125D"/>
    <w:multiLevelType w:val="hybridMultilevel"/>
    <w:tmpl w:val="057E1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BC58E6"/>
    <w:multiLevelType w:val="hybridMultilevel"/>
    <w:tmpl w:val="4D94A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EF59A9"/>
    <w:multiLevelType w:val="hybridMultilevel"/>
    <w:tmpl w:val="055854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50C85CC9"/>
    <w:multiLevelType w:val="hybridMultilevel"/>
    <w:tmpl w:val="BF3C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512651"/>
    <w:multiLevelType w:val="hybridMultilevel"/>
    <w:tmpl w:val="D8C0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030941"/>
    <w:multiLevelType w:val="multilevel"/>
    <w:tmpl w:val="CBDAEFC8"/>
    <w:styleLink w:val="1astyle"/>
    <w:lvl w:ilvl="0">
      <w:start w:val="1"/>
      <w:numFmt w:val="decimal"/>
      <w:pStyle w:val="ListNumber"/>
      <w:lvlText w:val="%1"/>
      <w:lvlJc w:val="left"/>
      <w:pPr>
        <w:ind w:left="360" w:hanging="360"/>
      </w:pPr>
      <w:rPr>
        <w:rFonts w:ascii="Calibri" w:hAnsi="Calibri" w:hint="default"/>
        <w:b/>
        <w:sz w:val="24"/>
      </w:rPr>
    </w:lvl>
    <w:lvl w:ilvl="1">
      <w:start w:val="1"/>
      <w:numFmt w:val="lowerLetter"/>
      <w:lvlRestart w:val="0"/>
      <w:pStyle w:val="ListNumber2"/>
      <w:lvlText w:val="%1.%2)"/>
      <w:lvlJc w:val="left"/>
      <w:pPr>
        <w:ind w:left="720" w:hanging="360"/>
      </w:pPr>
      <w:rPr>
        <w:rFonts w:ascii="Calibri" w:hAnsi="Calibr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7FF098A"/>
    <w:multiLevelType w:val="hybridMultilevel"/>
    <w:tmpl w:val="291C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23706C"/>
    <w:multiLevelType w:val="multilevel"/>
    <w:tmpl w:val="92D45ADC"/>
    <w:styleLink w:val="Style2"/>
    <w:lvl w:ilvl="0">
      <w:start w:val="1"/>
      <w:numFmt w:val="decimal"/>
      <w:lvlText w:val="%1."/>
      <w:lvlJc w:val="left"/>
      <w:pPr>
        <w:ind w:left="360" w:hanging="360"/>
      </w:pPr>
      <w:rPr>
        <w:rFonts w:ascii="Calibri" w:hAnsi="Calibri" w:hint="default"/>
        <w:b/>
        <w:i w:val="0"/>
        <w:sz w:val="24"/>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38C32B5"/>
    <w:multiLevelType w:val="hybridMultilevel"/>
    <w:tmpl w:val="EDD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DF644D"/>
    <w:multiLevelType w:val="multilevel"/>
    <w:tmpl w:val="584CB932"/>
    <w:styleLink w:val="1aetc"/>
    <w:lvl w:ilvl="0">
      <w:start w:val="1"/>
      <w:numFmt w:val="decimal"/>
      <w:lvlText w:val="%1."/>
      <w:lvlJc w:val="left"/>
      <w:pPr>
        <w:ind w:left="360" w:hanging="360"/>
      </w:pPr>
      <w:rPr>
        <w:rFonts w:asciiTheme="minorHAnsi" w:hAnsiTheme="minorHAnsi" w:hint="default"/>
        <w:b/>
        <w:sz w:val="24"/>
      </w:rPr>
    </w:lvl>
    <w:lvl w:ilvl="1">
      <w:start w:val="1"/>
      <w:numFmt w:val="lowerLetter"/>
      <w:lvlText w:val="%1.%2)"/>
      <w:lvlJc w:val="left"/>
      <w:pPr>
        <w:ind w:left="720" w:hanging="360"/>
      </w:pPr>
      <w:rPr>
        <w:rFonts w:asciiTheme="minorHAnsi" w:hAnsiTheme="minorHAnsi"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2447A2A"/>
    <w:multiLevelType w:val="hybridMultilevel"/>
    <w:tmpl w:val="3E6623EA"/>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6754ADD"/>
    <w:multiLevelType w:val="hybridMultilevel"/>
    <w:tmpl w:val="83BC4FBC"/>
    <w:lvl w:ilvl="0" w:tplc="5E7E93BC">
      <w:start w:val="1"/>
      <w:numFmt w:val="bullet"/>
      <w:lvlText w:val="•"/>
      <w:lvlJc w:val="left"/>
      <w:pPr>
        <w:tabs>
          <w:tab w:val="num" w:pos="720"/>
        </w:tabs>
        <w:ind w:left="720" w:hanging="360"/>
      </w:pPr>
      <w:rPr>
        <w:rFonts w:ascii="Arial" w:hAnsi="Arial" w:hint="default"/>
      </w:rPr>
    </w:lvl>
    <w:lvl w:ilvl="1" w:tplc="3DF0B0A2" w:tentative="1">
      <w:start w:val="1"/>
      <w:numFmt w:val="bullet"/>
      <w:lvlText w:val="•"/>
      <w:lvlJc w:val="left"/>
      <w:pPr>
        <w:tabs>
          <w:tab w:val="num" w:pos="1440"/>
        </w:tabs>
        <w:ind w:left="1440" w:hanging="360"/>
      </w:pPr>
      <w:rPr>
        <w:rFonts w:ascii="Arial" w:hAnsi="Arial" w:hint="default"/>
      </w:rPr>
    </w:lvl>
    <w:lvl w:ilvl="2" w:tplc="B2A287A6" w:tentative="1">
      <w:start w:val="1"/>
      <w:numFmt w:val="bullet"/>
      <w:lvlText w:val="•"/>
      <w:lvlJc w:val="left"/>
      <w:pPr>
        <w:tabs>
          <w:tab w:val="num" w:pos="2160"/>
        </w:tabs>
        <w:ind w:left="2160" w:hanging="360"/>
      </w:pPr>
      <w:rPr>
        <w:rFonts w:ascii="Arial" w:hAnsi="Arial" w:hint="default"/>
      </w:rPr>
    </w:lvl>
    <w:lvl w:ilvl="3" w:tplc="70D62292" w:tentative="1">
      <w:start w:val="1"/>
      <w:numFmt w:val="bullet"/>
      <w:lvlText w:val="•"/>
      <w:lvlJc w:val="left"/>
      <w:pPr>
        <w:tabs>
          <w:tab w:val="num" w:pos="2880"/>
        </w:tabs>
        <w:ind w:left="2880" w:hanging="360"/>
      </w:pPr>
      <w:rPr>
        <w:rFonts w:ascii="Arial" w:hAnsi="Arial" w:hint="default"/>
      </w:rPr>
    </w:lvl>
    <w:lvl w:ilvl="4" w:tplc="BA92253C" w:tentative="1">
      <w:start w:val="1"/>
      <w:numFmt w:val="bullet"/>
      <w:lvlText w:val="•"/>
      <w:lvlJc w:val="left"/>
      <w:pPr>
        <w:tabs>
          <w:tab w:val="num" w:pos="3600"/>
        </w:tabs>
        <w:ind w:left="3600" w:hanging="360"/>
      </w:pPr>
      <w:rPr>
        <w:rFonts w:ascii="Arial" w:hAnsi="Arial" w:hint="default"/>
      </w:rPr>
    </w:lvl>
    <w:lvl w:ilvl="5" w:tplc="C6C037D8" w:tentative="1">
      <w:start w:val="1"/>
      <w:numFmt w:val="bullet"/>
      <w:lvlText w:val="•"/>
      <w:lvlJc w:val="left"/>
      <w:pPr>
        <w:tabs>
          <w:tab w:val="num" w:pos="4320"/>
        </w:tabs>
        <w:ind w:left="4320" w:hanging="360"/>
      </w:pPr>
      <w:rPr>
        <w:rFonts w:ascii="Arial" w:hAnsi="Arial" w:hint="default"/>
      </w:rPr>
    </w:lvl>
    <w:lvl w:ilvl="6" w:tplc="E5884A60" w:tentative="1">
      <w:start w:val="1"/>
      <w:numFmt w:val="bullet"/>
      <w:lvlText w:val="•"/>
      <w:lvlJc w:val="left"/>
      <w:pPr>
        <w:tabs>
          <w:tab w:val="num" w:pos="5040"/>
        </w:tabs>
        <w:ind w:left="5040" w:hanging="360"/>
      </w:pPr>
      <w:rPr>
        <w:rFonts w:ascii="Arial" w:hAnsi="Arial" w:hint="default"/>
      </w:rPr>
    </w:lvl>
    <w:lvl w:ilvl="7" w:tplc="93221360" w:tentative="1">
      <w:start w:val="1"/>
      <w:numFmt w:val="bullet"/>
      <w:lvlText w:val="•"/>
      <w:lvlJc w:val="left"/>
      <w:pPr>
        <w:tabs>
          <w:tab w:val="num" w:pos="5760"/>
        </w:tabs>
        <w:ind w:left="5760" w:hanging="360"/>
      </w:pPr>
      <w:rPr>
        <w:rFonts w:ascii="Arial" w:hAnsi="Arial" w:hint="default"/>
      </w:rPr>
    </w:lvl>
    <w:lvl w:ilvl="8" w:tplc="910AD110" w:tentative="1">
      <w:start w:val="1"/>
      <w:numFmt w:val="bullet"/>
      <w:lvlText w:val="•"/>
      <w:lvlJc w:val="left"/>
      <w:pPr>
        <w:tabs>
          <w:tab w:val="num" w:pos="6480"/>
        </w:tabs>
        <w:ind w:left="6480" w:hanging="360"/>
      </w:pPr>
      <w:rPr>
        <w:rFonts w:ascii="Arial" w:hAnsi="Arial" w:hint="default"/>
      </w:rPr>
    </w:lvl>
  </w:abstractNum>
  <w:abstractNum w:abstractNumId="30">
    <w:nsid w:val="76B25F09"/>
    <w:multiLevelType w:val="hybridMultilevel"/>
    <w:tmpl w:val="60A27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26"/>
  </w:num>
  <w:num w:numId="4">
    <w:abstractNumId w:val="9"/>
  </w:num>
  <w:num w:numId="5">
    <w:abstractNumId w:val="24"/>
  </w:num>
  <w:num w:numId="6">
    <w:abstractNumId w:val="5"/>
  </w:num>
  <w:num w:numId="7">
    <w:abstractNumId w:val="2"/>
  </w:num>
  <w:num w:numId="8">
    <w:abstractNumId w:val="27"/>
  </w:num>
  <w:num w:numId="9">
    <w:abstractNumId w:val="25"/>
  </w:num>
  <w:num w:numId="10">
    <w:abstractNumId w:val="23"/>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8"/>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0"/>
  </w:num>
  <w:num w:numId="18">
    <w:abstractNumId w:val="22"/>
  </w:num>
  <w:num w:numId="19">
    <w:abstractNumId w:val="0"/>
  </w:num>
  <w:num w:numId="20">
    <w:abstractNumId w:val="1"/>
  </w:num>
  <w:num w:numId="21">
    <w:abstractNumId w:val="17"/>
  </w:num>
  <w:num w:numId="22">
    <w:abstractNumId w:val="13"/>
  </w:num>
  <w:num w:numId="23">
    <w:abstractNumId w:val="4"/>
  </w:num>
  <w:num w:numId="24">
    <w:abstractNumId w:val="29"/>
  </w:num>
  <w:num w:numId="25">
    <w:abstractNumId w:val="7"/>
  </w:num>
  <w:num w:numId="26">
    <w:abstractNumId w:val="16"/>
  </w:num>
  <w:num w:numId="27">
    <w:abstractNumId w:val="11"/>
  </w:num>
  <w:num w:numId="28">
    <w:abstractNumId w:val="12"/>
  </w:num>
  <w:num w:numId="29">
    <w:abstractNumId w:val="10"/>
  </w:num>
  <w:num w:numId="30">
    <w:abstractNumId w:val="3"/>
  </w:num>
  <w:num w:numId="3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94C"/>
    <w:rsid w:val="0000071D"/>
    <w:rsid w:val="00002263"/>
    <w:rsid w:val="00007C8F"/>
    <w:rsid w:val="00013C1F"/>
    <w:rsid w:val="00020C20"/>
    <w:rsid w:val="00021287"/>
    <w:rsid w:val="00021E44"/>
    <w:rsid w:val="00024978"/>
    <w:rsid w:val="0003048E"/>
    <w:rsid w:val="000337C1"/>
    <w:rsid w:val="00045425"/>
    <w:rsid w:val="000462A6"/>
    <w:rsid w:val="000551B7"/>
    <w:rsid w:val="00055BAA"/>
    <w:rsid w:val="000618AF"/>
    <w:rsid w:val="00063366"/>
    <w:rsid w:val="00063FB4"/>
    <w:rsid w:val="00064206"/>
    <w:rsid w:val="00066A78"/>
    <w:rsid w:val="00070ABD"/>
    <w:rsid w:val="0007263A"/>
    <w:rsid w:val="000737B8"/>
    <w:rsid w:val="00081210"/>
    <w:rsid w:val="0008294C"/>
    <w:rsid w:val="00085BA5"/>
    <w:rsid w:val="00087049"/>
    <w:rsid w:val="00097804"/>
    <w:rsid w:val="00097CBA"/>
    <w:rsid w:val="000A4DA9"/>
    <w:rsid w:val="000A5540"/>
    <w:rsid w:val="000A6753"/>
    <w:rsid w:val="000A6CED"/>
    <w:rsid w:val="000A7730"/>
    <w:rsid w:val="000B1575"/>
    <w:rsid w:val="000B7756"/>
    <w:rsid w:val="000C208F"/>
    <w:rsid w:val="000C3540"/>
    <w:rsid w:val="000C3E3C"/>
    <w:rsid w:val="000C642A"/>
    <w:rsid w:val="000C6573"/>
    <w:rsid w:val="000D172C"/>
    <w:rsid w:val="000D1CE4"/>
    <w:rsid w:val="000D1F5F"/>
    <w:rsid w:val="000D349C"/>
    <w:rsid w:val="000D41D2"/>
    <w:rsid w:val="000D425D"/>
    <w:rsid w:val="000D497A"/>
    <w:rsid w:val="000D7345"/>
    <w:rsid w:val="000E0A71"/>
    <w:rsid w:val="000E14CE"/>
    <w:rsid w:val="000E3318"/>
    <w:rsid w:val="000F239A"/>
    <w:rsid w:val="000F597E"/>
    <w:rsid w:val="000F5A4C"/>
    <w:rsid w:val="0010612A"/>
    <w:rsid w:val="001149C6"/>
    <w:rsid w:val="001161CE"/>
    <w:rsid w:val="00121C30"/>
    <w:rsid w:val="00133839"/>
    <w:rsid w:val="0013507E"/>
    <w:rsid w:val="00143990"/>
    <w:rsid w:val="001452A7"/>
    <w:rsid w:val="001504A3"/>
    <w:rsid w:val="00152228"/>
    <w:rsid w:val="001530E9"/>
    <w:rsid w:val="00154821"/>
    <w:rsid w:val="00160EC9"/>
    <w:rsid w:val="00161476"/>
    <w:rsid w:val="00163655"/>
    <w:rsid w:val="00166BAC"/>
    <w:rsid w:val="00166DF4"/>
    <w:rsid w:val="00166F10"/>
    <w:rsid w:val="00167D89"/>
    <w:rsid w:val="00170DC6"/>
    <w:rsid w:val="00176C9E"/>
    <w:rsid w:val="00183359"/>
    <w:rsid w:val="001918DF"/>
    <w:rsid w:val="001941D6"/>
    <w:rsid w:val="0019670F"/>
    <w:rsid w:val="001A138F"/>
    <w:rsid w:val="001B1713"/>
    <w:rsid w:val="001B28EC"/>
    <w:rsid w:val="001B6FD7"/>
    <w:rsid w:val="001B703C"/>
    <w:rsid w:val="001C1EEE"/>
    <w:rsid w:val="001C48FF"/>
    <w:rsid w:val="001C4A1F"/>
    <w:rsid w:val="001C5D69"/>
    <w:rsid w:val="001C604D"/>
    <w:rsid w:val="001C713D"/>
    <w:rsid w:val="001D037F"/>
    <w:rsid w:val="001D065B"/>
    <w:rsid w:val="001D1D6D"/>
    <w:rsid w:val="001D3C87"/>
    <w:rsid w:val="001D4BF1"/>
    <w:rsid w:val="001E0DA6"/>
    <w:rsid w:val="001E78A1"/>
    <w:rsid w:val="001F321B"/>
    <w:rsid w:val="001F5A75"/>
    <w:rsid w:val="001F6278"/>
    <w:rsid w:val="002107D0"/>
    <w:rsid w:val="00211E32"/>
    <w:rsid w:val="0022359F"/>
    <w:rsid w:val="002248AC"/>
    <w:rsid w:val="00225DA3"/>
    <w:rsid w:val="00234BD4"/>
    <w:rsid w:val="002359F7"/>
    <w:rsid w:val="002429DA"/>
    <w:rsid w:val="00242FEB"/>
    <w:rsid w:val="00243482"/>
    <w:rsid w:val="00243A58"/>
    <w:rsid w:val="00244339"/>
    <w:rsid w:val="0024757B"/>
    <w:rsid w:val="00247ACB"/>
    <w:rsid w:val="00247FBC"/>
    <w:rsid w:val="0025148D"/>
    <w:rsid w:val="00255E06"/>
    <w:rsid w:val="00261D90"/>
    <w:rsid w:val="00262A45"/>
    <w:rsid w:val="00263B21"/>
    <w:rsid w:val="00263B3C"/>
    <w:rsid w:val="0026456C"/>
    <w:rsid w:val="002674F7"/>
    <w:rsid w:val="0027028B"/>
    <w:rsid w:val="002714F6"/>
    <w:rsid w:val="00272531"/>
    <w:rsid w:val="00272591"/>
    <w:rsid w:val="0027440A"/>
    <w:rsid w:val="00275BAD"/>
    <w:rsid w:val="00276D44"/>
    <w:rsid w:val="0027786B"/>
    <w:rsid w:val="002824F1"/>
    <w:rsid w:val="0028319B"/>
    <w:rsid w:val="002849A1"/>
    <w:rsid w:val="0028533B"/>
    <w:rsid w:val="00287205"/>
    <w:rsid w:val="00287C7C"/>
    <w:rsid w:val="00294D79"/>
    <w:rsid w:val="002A5C9E"/>
    <w:rsid w:val="002A72FC"/>
    <w:rsid w:val="002B2C2F"/>
    <w:rsid w:val="002C53C3"/>
    <w:rsid w:val="002C6788"/>
    <w:rsid w:val="002D27B6"/>
    <w:rsid w:val="002D63EA"/>
    <w:rsid w:val="002E1BA0"/>
    <w:rsid w:val="002E5119"/>
    <w:rsid w:val="002F17F5"/>
    <w:rsid w:val="002F2980"/>
    <w:rsid w:val="002F31C5"/>
    <w:rsid w:val="002F462E"/>
    <w:rsid w:val="002F46F8"/>
    <w:rsid w:val="002F4864"/>
    <w:rsid w:val="00300123"/>
    <w:rsid w:val="00306393"/>
    <w:rsid w:val="00310275"/>
    <w:rsid w:val="00310F0A"/>
    <w:rsid w:val="00312B7E"/>
    <w:rsid w:val="00315373"/>
    <w:rsid w:val="00316140"/>
    <w:rsid w:val="003162B3"/>
    <w:rsid w:val="00317511"/>
    <w:rsid w:val="003207EF"/>
    <w:rsid w:val="00321603"/>
    <w:rsid w:val="00326953"/>
    <w:rsid w:val="00332A68"/>
    <w:rsid w:val="00332BDC"/>
    <w:rsid w:val="0033387F"/>
    <w:rsid w:val="00334936"/>
    <w:rsid w:val="00336A0E"/>
    <w:rsid w:val="00341F20"/>
    <w:rsid w:val="0034389E"/>
    <w:rsid w:val="003465CD"/>
    <w:rsid w:val="00346BC4"/>
    <w:rsid w:val="00346D28"/>
    <w:rsid w:val="00350787"/>
    <w:rsid w:val="00354102"/>
    <w:rsid w:val="0036589A"/>
    <w:rsid w:val="00372BF2"/>
    <w:rsid w:val="00376294"/>
    <w:rsid w:val="003820CF"/>
    <w:rsid w:val="003876A7"/>
    <w:rsid w:val="00393598"/>
    <w:rsid w:val="003A0940"/>
    <w:rsid w:val="003A16CA"/>
    <w:rsid w:val="003A1B6F"/>
    <w:rsid w:val="003A3EED"/>
    <w:rsid w:val="003A7F3A"/>
    <w:rsid w:val="003B16B8"/>
    <w:rsid w:val="003B28B0"/>
    <w:rsid w:val="003B5A6A"/>
    <w:rsid w:val="003C0A05"/>
    <w:rsid w:val="003D45E8"/>
    <w:rsid w:val="003D483C"/>
    <w:rsid w:val="003E258B"/>
    <w:rsid w:val="003E4AFD"/>
    <w:rsid w:val="003F2906"/>
    <w:rsid w:val="003F52BE"/>
    <w:rsid w:val="003F62E5"/>
    <w:rsid w:val="003F6EA2"/>
    <w:rsid w:val="00406BBB"/>
    <w:rsid w:val="00410771"/>
    <w:rsid w:val="00414698"/>
    <w:rsid w:val="0041718C"/>
    <w:rsid w:val="0042023B"/>
    <w:rsid w:val="00421490"/>
    <w:rsid w:val="00422BC2"/>
    <w:rsid w:val="00422F3C"/>
    <w:rsid w:val="00423615"/>
    <w:rsid w:val="00430FE7"/>
    <w:rsid w:val="004365C2"/>
    <w:rsid w:val="00436ACD"/>
    <w:rsid w:val="00436ED6"/>
    <w:rsid w:val="004429A5"/>
    <w:rsid w:val="00443137"/>
    <w:rsid w:val="004536B3"/>
    <w:rsid w:val="00454179"/>
    <w:rsid w:val="0045448B"/>
    <w:rsid w:val="004547D8"/>
    <w:rsid w:val="0045759F"/>
    <w:rsid w:val="0046773F"/>
    <w:rsid w:val="004719C5"/>
    <w:rsid w:val="00472464"/>
    <w:rsid w:val="00472EE0"/>
    <w:rsid w:val="00473139"/>
    <w:rsid w:val="00484B78"/>
    <w:rsid w:val="00490377"/>
    <w:rsid w:val="004A0CE9"/>
    <w:rsid w:val="004A14D7"/>
    <w:rsid w:val="004A364E"/>
    <w:rsid w:val="004A75FC"/>
    <w:rsid w:val="004B5FC3"/>
    <w:rsid w:val="004B7086"/>
    <w:rsid w:val="004D0247"/>
    <w:rsid w:val="004D1547"/>
    <w:rsid w:val="004D2F21"/>
    <w:rsid w:val="004D6D37"/>
    <w:rsid w:val="004D6EA7"/>
    <w:rsid w:val="004D7738"/>
    <w:rsid w:val="004E38C3"/>
    <w:rsid w:val="004F099B"/>
    <w:rsid w:val="004F20F2"/>
    <w:rsid w:val="004F41C6"/>
    <w:rsid w:val="004F4D0E"/>
    <w:rsid w:val="004F7EA2"/>
    <w:rsid w:val="005009C4"/>
    <w:rsid w:val="00502130"/>
    <w:rsid w:val="0050527A"/>
    <w:rsid w:val="005055C4"/>
    <w:rsid w:val="00510FC2"/>
    <w:rsid w:val="00515EC6"/>
    <w:rsid w:val="00517643"/>
    <w:rsid w:val="0052041C"/>
    <w:rsid w:val="00526F2C"/>
    <w:rsid w:val="005273D2"/>
    <w:rsid w:val="00534B70"/>
    <w:rsid w:val="00535B40"/>
    <w:rsid w:val="005454E1"/>
    <w:rsid w:val="0054612E"/>
    <w:rsid w:val="0054644A"/>
    <w:rsid w:val="005513C0"/>
    <w:rsid w:val="005547F9"/>
    <w:rsid w:val="00562338"/>
    <w:rsid w:val="005656EC"/>
    <w:rsid w:val="005664ED"/>
    <w:rsid w:val="00572CED"/>
    <w:rsid w:val="00576260"/>
    <w:rsid w:val="005826EE"/>
    <w:rsid w:val="0058539B"/>
    <w:rsid w:val="005857B5"/>
    <w:rsid w:val="00586269"/>
    <w:rsid w:val="00586EF7"/>
    <w:rsid w:val="005939B6"/>
    <w:rsid w:val="00594AC9"/>
    <w:rsid w:val="005A10BD"/>
    <w:rsid w:val="005B0731"/>
    <w:rsid w:val="005B2D30"/>
    <w:rsid w:val="005B535C"/>
    <w:rsid w:val="005B62ED"/>
    <w:rsid w:val="005C1421"/>
    <w:rsid w:val="005D0E90"/>
    <w:rsid w:val="005D13F2"/>
    <w:rsid w:val="005D1E3E"/>
    <w:rsid w:val="005D2C76"/>
    <w:rsid w:val="005E17B6"/>
    <w:rsid w:val="005F15E2"/>
    <w:rsid w:val="005F39EE"/>
    <w:rsid w:val="005F6116"/>
    <w:rsid w:val="00614A9E"/>
    <w:rsid w:val="006201F9"/>
    <w:rsid w:val="00620241"/>
    <w:rsid w:val="006210CD"/>
    <w:rsid w:val="00621C58"/>
    <w:rsid w:val="0062276B"/>
    <w:rsid w:val="00625461"/>
    <w:rsid w:val="006263BA"/>
    <w:rsid w:val="00627F5B"/>
    <w:rsid w:val="0063071C"/>
    <w:rsid w:val="00635290"/>
    <w:rsid w:val="006377E2"/>
    <w:rsid w:val="00645C9F"/>
    <w:rsid w:val="00646416"/>
    <w:rsid w:val="00647DF4"/>
    <w:rsid w:val="00650CD4"/>
    <w:rsid w:val="00653A38"/>
    <w:rsid w:val="00653CD3"/>
    <w:rsid w:val="00656B63"/>
    <w:rsid w:val="00660A02"/>
    <w:rsid w:val="00666DD5"/>
    <w:rsid w:val="00673C92"/>
    <w:rsid w:val="006746F3"/>
    <w:rsid w:val="00675769"/>
    <w:rsid w:val="00683B24"/>
    <w:rsid w:val="00684730"/>
    <w:rsid w:val="00686CFC"/>
    <w:rsid w:val="006931F2"/>
    <w:rsid w:val="00696E28"/>
    <w:rsid w:val="006A080C"/>
    <w:rsid w:val="006A2CD9"/>
    <w:rsid w:val="006A4742"/>
    <w:rsid w:val="006A59C9"/>
    <w:rsid w:val="006C3E5A"/>
    <w:rsid w:val="006C6B75"/>
    <w:rsid w:val="006C7BD0"/>
    <w:rsid w:val="006D1970"/>
    <w:rsid w:val="006D4343"/>
    <w:rsid w:val="006D50E0"/>
    <w:rsid w:val="006D674C"/>
    <w:rsid w:val="006E47C9"/>
    <w:rsid w:val="006E747A"/>
    <w:rsid w:val="006F1CC4"/>
    <w:rsid w:val="006F53D8"/>
    <w:rsid w:val="006F5B2F"/>
    <w:rsid w:val="006F6F17"/>
    <w:rsid w:val="0070376B"/>
    <w:rsid w:val="00704687"/>
    <w:rsid w:val="0070537D"/>
    <w:rsid w:val="00705D18"/>
    <w:rsid w:val="00707207"/>
    <w:rsid w:val="00717E60"/>
    <w:rsid w:val="007220FE"/>
    <w:rsid w:val="00725066"/>
    <w:rsid w:val="007262F6"/>
    <w:rsid w:val="00726ED1"/>
    <w:rsid w:val="007319FA"/>
    <w:rsid w:val="00733E8A"/>
    <w:rsid w:val="0073528A"/>
    <w:rsid w:val="00735688"/>
    <w:rsid w:val="0074032F"/>
    <w:rsid w:val="00741237"/>
    <w:rsid w:val="007534D8"/>
    <w:rsid w:val="00757A8E"/>
    <w:rsid w:val="00764311"/>
    <w:rsid w:val="007658C5"/>
    <w:rsid w:val="00775D08"/>
    <w:rsid w:val="007839D0"/>
    <w:rsid w:val="00784704"/>
    <w:rsid w:val="00784C0E"/>
    <w:rsid w:val="00790718"/>
    <w:rsid w:val="00796748"/>
    <w:rsid w:val="007A3F87"/>
    <w:rsid w:val="007B3BF3"/>
    <w:rsid w:val="007C27E7"/>
    <w:rsid w:val="007C4DF3"/>
    <w:rsid w:val="007D026E"/>
    <w:rsid w:val="007D0721"/>
    <w:rsid w:val="007D726A"/>
    <w:rsid w:val="007E1710"/>
    <w:rsid w:val="007E2971"/>
    <w:rsid w:val="007E2AF5"/>
    <w:rsid w:val="007E2C26"/>
    <w:rsid w:val="007E4CE9"/>
    <w:rsid w:val="007E534D"/>
    <w:rsid w:val="007E759C"/>
    <w:rsid w:val="007F3382"/>
    <w:rsid w:val="007F3B8A"/>
    <w:rsid w:val="007F65C2"/>
    <w:rsid w:val="008033C0"/>
    <w:rsid w:val="00804BD8"/>
    <w:rsid w:val="00807D6A"/>
    <w:rsid w:val="0081102F"/>
    <w:rsid w:val="008134F1"/>
    <w:rsid w:val="00815566"/>
    <w:rsid w:val="008224F1"/>
    <w:rsid w:val="00822D28"/>
    <w:rsid w:val="008252AE"/>
    <w:rsid w:val="00825CC5"/>
    <w:rsid w:val="00826E97"/>
    <w:rsid w:val="00827897"/>
    <w:rsid w:val="00827D48"/>
    <w:rsid w:val="00832007"/>
    <w:rsid w:val="00832A98"/>
    <w:rsid w:val="00840EBE"/>
    <w:rsid w:val="008478BF"/>
    <w:rsid w:val="0085135C"/>
    <w:rsid w:val="00851E23"/>
    <w:rsid w:val="00852021"/>
    <w:rsid w:val="0085422B"/>
    <w:rsid w:val="00865D09"/>
    <w:rsid w:val="00867099"/>
    <w:rsid w:val="008811CF"/>
    <w:rsid w:val="00882155"/>
    <w:rsid w:val="00884487"/>
    <w:rsid w:val="00891F6E"/>
    <w:rsid w:val="008946E7"/>
    <w:rsid w:val="00897901"/>
    <w:rsid w:val="008A5A14"/>
    <w:rsid w:val="008A693C"/>
    <w:rsid w:val="008A767A"/>
    <w:rsid w:val="008B08F7"/>
    <w:rsid w:val="008B0D29"/>
    <w:rsid w:val="008C26EC"/>
    <w:rsid w:val="008C3178"/>
    <w:rsid w:val="008D35E4"/>
    <w:rsid w:val="008D38C0"/>
    <w:rsid w:val="008D4713"/>
    <w:rsid w:val="008E16A9"/>
    <w:rsid w:val="008E3B4B"/>
    <w:rsid w:val="008E73FF"/>
    <w:rsid w:val="008F036A"/>
    <w:rsid w:val="008F7A3F"/>
    <w:rsid w:val="00904E8F"/>
    <w:rsid w:val="00906C7B"/>
    <w:rsid w:val="00923228"/>
    <w:rsid w:val="00925059"/>
    <w:rsid w:val="00927230"/>
    <w:rsid w:val="009328D7"/>
    <w:rsid w:val="00932DC2"/>
    <w:rsid w:val="009369D4"/>
    <w:rsid w:val="00940E26"/>
    <w:rsid w:val="00943386"/>
    <w:rsid w:val="00955AD5"/>
    <w:rsid w:val="00960BDF"/>
    <w:rsid w:val="00963035"/>
    <w:rsid w:val="00970256"/>
    <w:rsid w:val="00971A00"/>
    <w:rsid w:val="00976A20"/>
    <w:rsid w:val="00977FB0"/>
    <w:rsid w:val="009821E6"/>
    <w:rsid w:val="00983F35"/>
    <w:rsid w:val="0099002A"/>
    <w:rsid w:val="009909AE"/>
    <w:rsid w:val="00994E84"/>
    <w:rsid w:val="009B77E0"/>
    <w:rsid w:val="009C417B"/>
    <w:rsid w:val="009D26F3"/>
    <w:rsid w:val="009D2CD7"/>
    <w:rsid w:val="009D2E80"/>
    <w:rsid w:val="009D4C12"/>
    <w:rsid w:val="009E2283"/>
    <w:rsid w:val="009E56A5"/>
    <w:rsid w:val="009F1F32"/>
    <w:rsid w:val="009F7C5C"/>
    <w:rsid w:val="00A00022"/>
    <w:rsid w:val="00A00F74"/>
    <w:rsid w:val="00A021B0"/>
    <w:rsid w:val="00A03395"/>
    <w:rsid w:val="00A04DF9"/>
    <w:rsid w:val="00A058B9"/>
    <w:rsid w:val="00A1141F"/>
    <w:rsid w:val="00A13979"/>
    <w:rsid w:val="00A1752C"/>
    <w:rsid w:val="00A17C20"/>
    <w:rsid w:val="00A22642"/>
    <w:rsid w:val="00A23D1D"/>
    <w:rsid w:val="00A34543"/>
    <w:rsid w:val="00A34799"/>
    <w:rsid w:val="00A4059D"/>
    <w:rsid w:val="00A445C4"/>
    <w:rsid w:val="00A454A3"/>
    <w:rsid w:val="00A4685E"/>
    <w:rsid w:val="00A4753F"/>
    <w:rsid w:val="00A475A4"/>
    <w:rsid w:val="00A501E2"/>
    <w:rsid w:val="00A6267C"/>
    <w:rsid w:val="00A630EE"/>
    <w:rsid w:val="00A64A74"/>
    <w:rsid w:val="00A65A50"/>
    <w:rsid w:val="00A71334"/>
    <w:rsid w:val="00A72BC3"/>
    <w:rsid w:val="00A733B3"/>
    <w:rsid w:val="00A73456"/>
    <w:rsid w:val="00A73A96"/>
    <w:rsid w:val="00A746D6"/>
    <w:rsid w:val="00A75429"/>
    <w:rsid w:val="00A9097D"/>
    <w:rsid w:val="00A9108F"/>
    <w:rsid w:val="00AA1AD5"/>
    <w:rsid w:val="00AA50ED"/>
    <w:rsid w:val="00AA5797"/>
    <w:rsid w:val="00AA5D26"/>
    <w:rsid w:val="00AA7D42"/>
    <w:rsid w:val="00AB1E0C"/>
    <w:rsid w:val="00AC6CB9"/>
    <w:rsid w:val="00AC6E2D"/>
    <w:rsid w:val="00AC7691"/>
    <w:rsid w:val="00AD0D9D"/>
    <w:rsid w:val="00AD2318"/>
    <w:rsid w:val="00AD241C"/>
    <w:rsid w:val="00AD4BB0"/>
    <w:rsid w:val="00AD7A86"/>
    <w:rsid w:val="00AE0D2E"/>
    <w:rsid w:val="00AE1C3D"/>
    <w:rsid w:val="00AE7223"/>
    <w:rsid w:val="00AF2913"/>
    <w:rsid w:val="00AF410A"/>
    <w:rsid w:val="00AF4B9F"/>
    <w:rsid w:val="00B00E6D"/>
    <w:rsid w:val="00B0449D"/>
    <w:rsid w:val="00B050F3"/>
    <w:rsid w:val="00B06AF0"/>
    <w:rsid w:val="00B13142"/>
    <w:rsid w:val="00B14B01"/>
    <w:rsid w:val="00B16092"/>
    <w:rsid w:val="00B20712"/>
    <w:rsid w:val="00B23BFF"/>
    <w:rsid w:val="00B2496D"/>
    <w:rsid w:val="00B273E0"/>
    <w:rsid w:val="00B35FCD"/>
    <w:rsid w:val="00B4168D"/>
    <w:rsid w:val="00B44299"/>
    <w:rsid w:val="00B443B8"/>
    <w:rsid w:val="00B44B0B"/>
    <w:rsid w:val="00B467B4"/>
    <w:rsid w:val="00B471E9"/>
    <w:rsid w:val="00B5207F"/>
    <w:rsid w:val="00B53A06"/>
    <w:rsid w:val="00B542DB"/>
    <w:rsid w:val="00B557D7"/>
    <w:rsid w:val="00B5607E"/>
    <w:rsid w:val="00B625C5"/>
    <w:rsid w:val="00B65F01"/>
    <w:rsid w:val="00B66DF8"/>
    <w:rsid w:val="00B702CF"/>
    <w:rsid w:val="00B7134A"/>
    <w:rsid w:val="00B808B4"/>
    <w:rsid w:val="00B80EE1"/>
    <w:rsid w:val="00B83278"/>
    <w:rsid w:val="00B83BD4"/>
    <w:rsid w:val="00B84D28"/>
    <w:rsid w:val="00B86225"/>
    <w:rsid w:val="00B93DEF"/>
    <w:rsid w:val="00B93F14"/>
    <w:rsid w:val="00B947D2"/>
    <w:rsid w:val="00B96323"/>
    <w:rsid w:val="00B96981"/>
    <w:rsid w:val="00BA1714"/>
    <w:rsid w:val="00BA2078"/>
    <w:rsid w:val="00BA50DA"/>
    <w:rsid w:val="00BA51A6"/>
    <w:rsid w:val="00BA7236"/>
    <w:rsid w:val="00BB1C1C"/>
    <w:rsid w:val="00BB3D83"/>
    <w:rsid w:val="00BB41B0"/>
    <w:rsid w:val="00BB5358"/>
    <w:rsid w:val="00BC21A0"/>
    <w:rsid w:val="00BD0781"/>
    <w:rsid w:val="00BD26A1"/>
    <w:rsid w:val="00BD2B62"/>
    <w:rsid w:val="00BD38DE"/>
    <w:rsid w:val="00BD4080"/>
    <w:rsid w:val="00BE31FE"/>
    <w:rsid w:val="00BF0174"/>
    <w:rsid w:val="00BF6332"/>
    <w:rsid w:val="00C04AC3"/>
    <w:rsid w:val="00C06046"/>
    <w:rsid w:val="00C10985"/>
    <w:rsid w:val="00C12452"/>
    <w:rsid w:val="00C129B8"/>
    <w:rsid w:val="00C203CD"/>
    <w:rsid w:val="00C232A8"/>
    <w:rsid w:val="00C23AA7"/>
    <w:rsid w:val="00C24D2C"/>
    <w:rsid w:val="00C31779"/>
    <w:rsid w:val="00C37DF4"/>
    <w:rsid w:val="00C41960"/>
    <w:rsid w:val="00C41A82"/>
    <w:rsid w:val="00C530ED"/>
    <w:rsid w:val="00C556A8"/>
    <w:rsid w:val="00C56613"/>
    <w:rsid w:val="00C56FBE"/>
    <w:rsid w:val="00C85073"/>
    <w:rsid w:val="00C905C8"/>
    <w:rsid w:val="00C9068E"/>
    <w:rsid w:val="00C90CCA"/>
    <w:rsid w:val="00C913D7"/>
    <w:rsid w:val="00C91AFA"/>
    <w:rsid w:val="00C960BA"/>
    <w:rsid w:val="00C96F05"/>
    <w:rsid w:val="00C97570"/>
    <w:rsid w:val="00CB00FD"/>
    <w:rsid w:val="00CB03FF"/>
    <w:rsid w:val="00CB13B5"/>
    <w:rsid w:val="00CB7E48"/>
    <w:rsid w:val="00CC1852"/>
    <w:rsid w:val="00CD146B"/>
    <w:rsid w:val="00CD20E3"/>
    <w:rsid w:val="00CD21F6"/>
    <w:rsid w:val="00CD3ABF"/>
    <w:rsid w:val="00CD6E9C"/>
    <w:rsid w:val="00CD6F57"/>
    <w:rsid w:val="00CD752D"/>
    <w:rsid w:val="00CE0C4D"/>
    <w:rsid w:val="00CE3E45"/>
    <w:rsid w:val="00CE5D69"/>
    <w:rsid w:val="00CE671F"/>
    <w:rsid w:val="00CE693C"/>
    <w:rsid w:val="00CF1719"/>
    <w:rsid w:val="00CF2357"/>
    <w:rsid w:val="00CF2EE6"/>
    <w:rsid w:val="00CF776A"/>
    <w:rsid w:val="00D00418"/>
    <w:rsid w:val="00D05FF2"/>
    <w:rsid w:val="00D11841"/>
    <w:rsid w:val="00D11A81"/>
    <w:rsid w:val="00D136F9"/>
    <w:rsid w:val="00D146FA"/>
    <w:rsid w:val="00D2236B"/>
    <w:rsid w:val="00D22548"/>
    <w:rsid w:val="00D23CE3"/>
    <w:rsid w:val="00D23FF1"/>
    <w:rsid w:val="00D30C4B"/>
    <w:rsid w:val="00D3470C"/>
    <w:rsid w:val="00D364EA"/>
    <w:rsid w:val="00D43EDD"/>
    <w:rsid w:val="00D50FB2"/>
    <w:rsid w:val="00D52E46"/>
    <w:rsid w:val="00D5646C"/>
    <w:rsid w:val="00D57689"/>
    <w:rsid w:val="00D60D0C"/>
    <w:rsid w:val="00D620F8"/>
    <w:rsid w:val="00D86D8F"/>
    <w:rsid w:val="00D91641"/>
    <w:rsid w:val="00D917A0"/>
    <w:rsid w:val="00D9233A"/>
    <w:rsid w:val="00D928FC"/>
    <w:rsid w:val="00D96198"/>
    <w:rsid w:val="00D97F17"/>
    <w:rsid w:val="00DA234D"/>
    <w:rsid w:val="00DA3BEE"/>
    <w:rsid w:val="00DA7A89"/>
    <w:rsid w:val="00DB5575"/>
    <w:rsid w:val="00DC0EFA"/>
    <w:rsid w:val="00DC41C6"/>
    <w:rsid w:val="00DC58A8"/>
    <w:rsid w:val="00DC71A7"/>
    <w:rsid w:val="00DD02FC"/>
    <w:rsid w:val="00DF067C"/>
    <w:rsid w:val="00DF3114"/>
    <w:rsid w:val="00DF3326"/>
    <w:rsid w:val="00DF56BA"/>
    <w:rsid w:val="00DF6F9B"/>
    <w:rsid w:val="00DF7804"/>
    <w:rsid w:val="00E03791"/>
    <w:rsid w:val="00E03D50"/>
    <w:rsid w:val="00E06561"/>
    <w:rsid w:val="00E12BD4"/>
    <w:rsid w:val="00E1706D"/>
    <w:rsid w:val="00E21144"/>
    <w:rsid w:val="00E21301"/>
    <w:rsid w:val="00E21906"/>
    <w:rsid w:val="00E268A7"/>
    <w:rsid w:val="00E31179"/>
    <w:rsid w:val="00E44F29"/>
    <w:rsid w:val="00E51944"/>
    <w:rsid w:val="00E524F1"/>
    <w:rsid w:val="00E540B8"/>
    <w:rsid w:val="00E55382"/>
    <w:rsid w:val="00E558BD"/>
    <w:rsid w:val="00E56DE3"/>
    <w:rsid w:val="00E60EB1"/>
    <w:rsid w:val="00E6609D"/>
    <w:rsid w:val="00E71A5E"/>
    <w:rsid w:val="00E76CFA"/>
    <w:rsid w:val="00E82285"/>
    <w:rsid w:val="00E822C9"/>
    <w:rsid w:val="00E83D59"/>
    <w:rsid w:val="00E923CD"/>
    <w:rsid w:val="00E9254E"/>
    <w:rsid w:val="00EA1258"/>
    <w:rsid w:val="00EA4DFE"/>
    <w:rsid w:val="00EA7D86"/>
    <w:rsid w:val="00EB406C"/>
    <w:rsid w:val="00EB71F7"/>
    <w:rsid w:val="00EC0618"/>
    <w:rsid w:val="00EC2B0A"/>
    <w:rsid w:val="00EC370B"/>
    <w:rsid w:val="00EC377C"/>
    <w:rsid w:val="00EE0CCA"/>
    <w:rsid w:val="00EE7871"/>
    <w:rsid w:val="00EF22D3"/>
    <w:rsid w:val="00EF28DA"/>
    <w:rsid w:val="00F000D6"/>
    <w:rsid w:val="00F050F0"/>
    <w:rsid w:val="00F074CB"/>
    <w:rsid w:val="00F1075A"/>
    <w:rsid w:val="00F13174"/>
    <w:rsid w:val="00F133CF"/>
    <w:rsid w:val="00F14A4E"/>
    <w:rsid w:val="00F15F2B"/>
    <w:rsid w:val="00F1611A"/>
    <w:rsid w:val="00F166B8"/>
    <w:rsid w:val="00F25F10"/>
    <w:rsid w:val="00F26DE8"/>
    <w:rsid w:val="00F27077"/>
    <w:rsid w:val="00F27E30"/>
    <w:rsid w:val="00F305B6"/>
    <w:rsid w:val="00F35F3D"/>
    <w:rsid w:val="00F47EAD"/>
    <w:rsid w:val="00F52007"/>
    <w:rsid w:val="00F5227C"/>
    <w:rsid w:val="00F54D95"/>
    <w:rsid w:val="00F566D2"/>
    <w:rsid w:val="00F622CB"/>
    <w:rsid w:val="00F66EB1"/>
    <w:rsid w:val="00F67A90"/>
    <w:rsid w:val="00F70045"/>
    <w:rsid w:val="00F7025F"/>
    <w:rsid w:val="00F70E42"/>
    <w:rsid w:val="00F732DD"/>
    <w:rsid w:val="00F745D7"/>
    <w:rsid w:val="00F74617"/>
    <w:rsid w:val="00F77A3C"/>
    <w:rsid w:val="00F802E8"/>
    <w:rsid w:val="00F84477"/>
    <w:rsid w:val="00F844DA"/>
    <w:rsid w:val="00F87238"/>
    <w:rsid w:val="00F87C88"/>
    <w:rsid w:val="00F87FDC"/>
    <w:rsid w:val="00F900B5"/>
    <w:rsid w:val="00F94AD2"/>
    <w:rsid w:val="00F95E5D"/>
    <w:rsid w:val="00FA09FF"/>
    <w:rsid w:val="00FA69E7"/>
    <w:rsid w:val="00FA7E86"/>
    <w:rsid w:val="00FB3774"/>
    <w:rsid w:val="00FB77F3"/>
    <w:rsid w:val="00FC3598"/>
    <w:rsid w:val="00FC5D21"/>
    <w:rsid w:val="00FD434A"/>
    <w:rsid w:val="00FD4AF9"/>
    <w:rsid w:val="00FD5AE5"/>
    <w:rsid w:val="00FE25B6"/>
    <w:rsid w:val="00FE4E06"/>
    <w:rsid w:val="00FE53C3"/>
    <w:rsid w:val="00FE7CD9"/>
    <w:rsid w:val="00FF029C"/>
    <w:rsid w:val="00FF1E4B"/>
    <w:rsid w:val="00FF2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94C"/>
    <w:pPr>
      <w:ind w:left="720"/>
      <w:contextualSpacing/>
    </w:pPr>
  </w:style>
  <w:style w:type="paragraph" w:styleId="BalloonText">
    <w:name w:val="Balloon Text"/>
    <w:basedOn w:val="Normal"/>
    <w:link w:val="BalloonTextChar"/>
    <w:uiPriority w:val="99"/>
    <w:semiHidden/>
    <w:unhideWhenUsed/>
    <w:rsid w:val="00AA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D42"/>
    <w:rPr>
      <w:rFonts w:ascii="Tahoma" w:hAnsi="Tahoma" w:cs="Tahoma"/>
      <w:sz w:val="16"/>
      <w:szCs w:val="16"/>
    </w:rPr>
  </w:style>
  <w:style w:type="table" w:styleId="TableGrid">
    <w:name w:val="Table Grid"/>
    <w:basedOn w:val="TableNormal"/>
    <w:uiPriority w:val="59"/>
    <w:rsid w:val="00566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next w:val="Normal"/>
    <w:rsid w:val="005826EE"/>
    <w:pPr>
      <w:keepNext/>
      <w:spacing w:before="100" w:after="100" w:line="240" w:lineRule="auto"/>
      <w:outlineLvl w:val="3"/>
    </w:pPr>
    <w:rPr>
      <w:rFonts w:ascii="Times New Roman" w:eastAsia="Times New Roman" w:hAnsi="Times New Roman" w:cs="Times New Roman"/>
      <w:b/>
      <w:snapToGrid w:val="0"/>
      <w:sz w:val="28"/>
      <w:szCs w:val="20"/>
    </w:rPr>
  </w:style>
  <w:style w:type="paragraph" w:styleId="FootnoteText">
    <w:name w:val="footnote text"/>
    <w:basedOn w:val="Normal"/>
    <w:link w:val="FootnoteTextChar"/>
    <w:rsid w:val="001614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61476"/>
    <w:rPr>
      <w:rFonts w:ascii="Times New Roman" w:eastAsia="Times New Roman" w:hAnsi="Times New Roman" w:cs="Times New Roman"/>
      <w:sz w:val="20"/>
      <w:szCs w:val="20"/>
    </w:rPr>
  </w:style>
  <w:style w:type="character" w:styleId="FootnoteReference">
    <w:name w:val="footnote reference"/>
    <w:basedOn w:val="DefaultParagraphFont"/>
    <w:rsid w:val="00161476"/>
    <w:rPr>
      <w:vertAlign w:val="superscript"/>
    </w:rPr>
  </w:style>
  <w:style w:type="paragraph" w:styleId="EndnoteText">
    <w:name w:val="endnote text"/>
    <w:basedOn w:val="Normal"/>
    <w:link w:val="EndnoteTextChar"/>
    <w:uiPriority w:val="99"/>
    <w:semiHidden/>
    <w:unhideWhenUsed/>
    <w:rsid w:val="00BB1C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1C1C"/>
    <w:rPr>
      <w:sz w:val="20"/>
      <w:szCs w:val="20"/>
    </w:rPr>
  </w:style>
  <w:style w:type="character" w:styleId="EndnoteReference">
    <w:name w:val="endnote reference"/>
    <w:basedOn w:val="DefaultParagraphFont"/>
    <w:uiPriority w:val="99"/>
    <w:semiHidden/>
    <w:unhideWhenUsed/>
    <w:rsid w:val="00BB1C1C"/>
    <w:rPr>
      <w:vertAlign w:val="superscript"/>
    </w:rPr>
  </w:style>
  <w:style w:type="paragraph" w:styleId="Header">
    <w:name w:val="header"/>
    <w:basedOn w:val="Normal"/>
    <w:link w:val="HeaderChar"/>
    <w:unhideWhenUsed/>
    <w:rsid w:val="00FD5AE5"/>
    <w:pPr>
      <w:tabs>
        <w:tab w:val="center" w:pos="4680"/>
        <w:tab w:val="right" w:pos="9360"/>
      </w:tabs>
      <w:spacing w:after="0" w:line="240" w:lineRule="auto"/>
    </w:pPr>
  </w:style>
  <w:style w:type="character" w:customStyle="1" w:styleId="HeaderChar">
    <w:name w:val="Header Char"/>
    <w:basedOn w:val="DefaultParagraphFont"/>
    <w:link w:val="Header"/>
    <w:rsid w:val="00FD5AE5"/>
  </w:style>
  <w:style w:type="paragraph" w:styleId="Footer">
    <w:name w:val="footer"/>
    <w:basedOn w:val="Normal"/>
    <w:link w:val="FooterChar"/>
    <w:uiPriority w:val="99"/>
    <w:unhideWhenUsed/>
    <w:rsid w:val="00FD5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AE5"/>
  </w:style>
  <w:style w:type="character" w:customStyle="1" w:styleId="legds2">
    <w:name w:val="legds2"/>
    <w:basedOn w:val="DefaultParagraphFont"/>
    <w:rsid w:val="00F67A90"/>
    <w:rPr>
      <w:vanish w:val="0"/>
      <w:webHidden w:val="0"/>
      <w:specVanish w:val="0"/>
    </w:rPr>
  </w:style>
  <w:style w:type="character" w:styleId="CommentReference">
    <w:name w:val="annotation reference"/>
    <w:basedOn w:val="DefaultParagraphFont"/>
    <w:uiPriority w:val="99"/>
    <w:semiHidden/>
    <w:unhideWhenUsed/>
    <w:rsid w:val="00326953"/>
    <w:rPr>
      <w:sz w:val="16"/>
      <w:szCs w:val="16"/>
    </w:rPr>
  </w:style>
  <w:style w:type="paragraph" w:styleId="CommentText">
    <w:name w:val="annotation text"/>
    <w:basedOn w:val="Normal"/>
    <w:link w:val="CommentTextChar"/>
    <w:uiPriority w:val="99"/>
    <w:unhideWhenUsed/>
    <w:rsid w:val="00326953"/>
    <w:pPr>
      <w:spacing w:line="240" w:lineRule="auto"/>
    </w:pPr>
    <w:rPr>
      <w:sz w:val="20"/>
      <w:szCs w:val="20"/>
    </w:rPr>
  </w:style>
  <w:style w:type="character" w:customStyle="1" w:styleId="CommentTextChar">
    <w:name w:val="Comment Text Char"/>
    <w:basedOn w:val="DefaultParagraphFont"/>
    <w:link w:val="CommentText"/>
    <w:uiPriority w:val="99"/>
    <w:rsid w:val="00326953"/>
    <w:rPr>
      <w:sz w:val="20"/>
      <w:szCs w:val="20"/>
    </w:rPr>
  </w:style>
  <w:style w:type="paragraph" w:styleId="CommentSubject">
    <w:name w:val="annotation subject"/>
    <w:basedOn w:val="CommentText"/>
    <w:next w:val="CommentText"/>
    <w:link w:val="CommentSubjectChar"/>
    <w:uiPriority w:val="99"/>
    <w:semiHidden/>
    <w:unhideWhenUsed/>
    <w:rsid w:val="00326953"/>
    <w:rPr>
      <w:b/>
      <w:bCs/>
    </w:rPr>
  </w:style>
  <w:style w:type="character" w:customStyle="1" w:styleId="CommentSubjectChar">
    <w:name w:val="Comment Subject Char"/>
    <w:basedOn w:val="CommentTextChar"/>
    <w:link w:val="CommentSubject"/>
    <w:uiPriority w:val="99"/>
    <w:semiHidden/>
    <w:rsid w:val="00326953"/>
    <w:rPr>
      <w:b/>
      <w:bCs/>
      <w:sz w:val="20"/>
      <w:szCs w:val="20"/>
    </w:rPr>
  </w:style>
  <w:style w:type="numbering" w:customStyle="1" w:styleId="Style1">
    <w:name w:val="Style1"/>
    <w:uiPriority w:val="99"/>
    <w:rsid w:val="005E17B6"/>
    <w:pPr>
      <w:numPr>
        <w:numId w:val="7"/>
      </w:numPr>
    </w:pPr>
  </w:style>
  <w:style w:type="numbering" w:customStyle="1" w:styleId="1aetc">
    <w:name w:val="1.a etc"/>
    <w:uiPriority w:val="99"/>
    <w:rsid w:val="00472EE0"/>
    <w:pPr>
      <w:numPr>
        <w:numId w:val="8"/>
      </w:numPr>
    </w:pPr>
  </w:style>
  <w:style w:type="numbering" w:customStyle="1" w:styleId="Style2">
    <w:name w:val="Style2"/>
    <w:uiPriority w:val="99"/>
    <w:rsid w:val="005F39EE"/>
    <w:pPr>
      <w:numPr>
        <w:numId w:val="9"/>
      </w:numPr>
    </w:pPr>
  </w:style>
  <w:style w:type="paragraph" w:styleId="ListNumber">
    <w:name w:val="List Number"/>
    <w:basedOn w:val="Normal"/>
    <w:uiPriority w:val="99"/>
    <w:unhideWhenUsed/>
    <w:rsid w:val="005F39EE"/>
    <w:pPr>
      <w:numPr>
        <w:numId w:val="10"/>
      </w:numPr>
      <w:contextualSpacing/>
    </w:pPr>
  </w:style>
  <w:style w:type="paragraph" w:styleId="ListNumber2">
    <w:name w:val="List Number 2"/>
    <w:basedOn w:val="Normal"/>
    <w:uiPriority w:val="99"/>
    <w:unhideWhenUsed/>
    <w:rsid w:val="005F39EE"/>
    <w:pPr>
      <w:numPr>
        <w:ilvl w:val="1"/>
        <w:numId w:val="10"/>
      </w:numPr>
      <w:contextualSpacing/>
    </w:pPr>
  </w:style>
  <w:style w:type="numbering" w:customStyle="1" w:styleId="1astyle">
    <w:name w:val="1.a style"/>
    <w:uiPriority w:val="99"/>
    <w:rsid w:val="005F39EE"/>
    <w:pPr>
      <w:numPr>
        <w:numId w:val="10"/>
      </w:numPr>
    </w:pPr>
  </w:style>
  <w:style w:type="character" w:styleId="PlaceholderText">
    <w:name w:val="Placeholder Text"/>
    <w:basedOn w:val="DefaultParagraphFont"/>
    <w:uiPriority w:val="99"/>
    <w:semiHidden/>
    <w:rsid w:val="00AD241C"/>
    <w:rPr>
      <w:color w:val="808080"/>
    </w:rPr>
  </w:style>
  <w:style w:type="character" w:styleId="Hyperlink">
    <w:name w:val="Hyperlink"/>
    <w:basedOn w:val="DefaultParagraphFont"/>
    <w:unhideWhenUsed/>
    <w:rsid w:val="00310275"/>
    <w:rPr>
      <w:color w:val="0000FF" w:themeColor="hyperlink"/>
      <w:u w:val="single"/>
    </w:rPr>
  </w:style>
  <w:style w:type="character" w:styleId="FollowedHyperlink">
    <w:name w:val="FollowedHyperlink"/>
    <w:basedOn w:val="DefaultParagraphFont"/>
    <w:uiPriority w:val="99"/>
    <w:semiHidden/>
    <w:unhideWhenUsed/>
    <w:rsid w:val="00310275"/>
    <w:rPr>
      <w:color w:val="800080" w:themeColor="followedHyperlink"/>
      <w:u w:val="single"/>
    </w:rPr>
  </w:style>
  <w:style w:type="table" w:customStyle="1" w:styleId="TableGrid1">
    <w:name w:val="Table Grid1"/>
    <w:basedOn w:val="TableNormal"/>
    <w:next w:val="TableGrid"/>
    <w:uiPriority w:val="59"/>
    <w:rsid w:val="004B5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5FC3"/>
    <w:pPr>
      <w:spacing w:before="100" w:beforeAutospacing="1" w:after="150" w:line="240" w:lineRule="auto"/>
    </w:pPr>
    <w:rPr>
      <w:rFonts w:ascii="Times New Roman" w:eastAsia="Times New Roman" w:hAnsi="Times New Roman" w:cs="Times New Roman"/>
      <w:sz w:val="24"/>
      <w:szCs w:val="24"/>
    </w:rPr>
  </w:style>
  <w:style w:type="paragraph" w:customStyle="1" w:styleId="B1BodyText">
    <w:name w:val="B1 Body Text"/>
    <w:link w:val="B1BodyTextCharChar"/>
    <w:rsid w:val="004B5FC3"/>
    <w:pPr>
      <w:spacing w:before="120" w:after="180" w:line="320" w:lineRule="atLeast"/>
      <w:ind w:left="567"/>
    </w:pPr>
    <w:rPr>
      <w:rFonts w:ascii="Arial" w:eastAsia="Times New Roman" w:hAnsi="Arial" w:cs="ITC Stone Sans Std Medium"/>
      <w:color w:val="000000"/>
      <w:szCs w:val="24"/>
    </w:rPr>
  </w:style>
  <w:style w:type="character" w:customStyle="1" w:styleId="B1BodyTextCharChar">
    <w:name w:val="B1 Body Text Char Char"/>
    <w:basedOn w:val="DefaultParagraphFont"/>
    <w:link w:val="B1BodyText"/>
    <w:rsid w:val="004B5FC3"/>
    <w:rPr>
      <w:rFonts w:ascii="Arial" w:eastAsia="Times New Roman" w:hAnsi="Arial" w:cs="ITC Stone Sans Std Medium"/>
      <w:color w:val="000000"/>
      <w:szCs w:val="24"/>
    </w:rPr>
  </w:style>
  <w:style w:type="paragraph" w:customStyle="1" w:styleId="B1BodyTextNumbered">
    <w:name w:val="B1 Body Text Numbered"/>
    <w:basedOn w:val="B1BodyText"/>
    <w:rsid w:val="00EE0CCA"/>
    <w:pPr>
      <w:widowControl w:val="0"/>
      <w:tabs>
        <w:tab w:val="left" w:pos="850"/>
      </w:tabs>
      <w:suppressAutoHyphens/>
      <w:autoSpaceDE w:val="0"/>
      <w:autoSpaceDN w:val="0"/>
      <w:adjustRightInd w:val="0"/>
      <w:spacing w:before="60" w:after="120" w:line="340" w:lineRule="atLeast"/>
      <w:ind w:left="850" w:hanging="850"/>
      <w:textAlignment w:val="center"/>
    </w:pPr>
    <w:rPr>
      <w:rFonts w:ascii="ITC Franklin Gothic Book" w:hAnsi="ITC Franklin Gothic Book" w:cs="ITC Franklin Gothic Book"/>
      <w:sz w:val="28"/>
      <w:szCs w:val="28"/>
    </w:rPr>
  </w:style>
  <w:style w:type="paragraph" w:customStyle="1" w:styleId="B2BodyTextBullet1">
    <w:name w:val="B2 Body Text Bullet 1"/>
    <w:basedOn w:val="B1BodyText"/>
    <w:rsid w:val="00977FB0"/>
    <w:pPr>
      <w:widowControl w:val="0"/>
      <w:numPr>
        <w:numId w:val="30"/>
      </w:numPr>
      <w:tabs>
        <w:tab w:val="left" w:pos="850"/>
      </w:tabs>
      <w:suppressAutoHyphens/>
      <w:autoSpaceDE w:val="0"/>
      <w:autoSpaceDN w:val="0"/>
      <w:adjustRightInd w:val="0"/>
      <w:spacing w:before="0" w:after="120" w:line="340" w:lineRule="atLeast"/>
      <w:textAlignment w:val="center"/>
    </w:pPr>
    <w:rPr>
      <w:rFonts w:ascii="ITC Franklin Gothic Book" w:hAnsi="ITC Franklin Gothic Book" w:cs="ITC Franklin Gothic Book"/>
      <w:sz w:val="28"/>
      <w:szCs w:val="28"/>
    </w:rPr>
  </w:style>
  <w:style w:type="paragraph" w:customStyle="1" w:styleId="H3SubHeading">
    <w:name w:val="H3 Sub Heading"/>
    <w:basedOn w:val="Normal"/>
    <w:rsid w:val="00977FB0"/>
    <w:pPr>
      <w:keepNext/>
      <w:widowControl w:val="0"/>
      <w:tabs>
        <w:tab w:val="left" w:pos="850"/>
      </w:tabs>
      <w:suppressAutoHyphens/>
      <w:autoSpaceDE w:val="0"/>
      <w:autoSpaceDN w:val="0"/>
      <w:adjustRightInd w:val="0"/>
      <w:spacing w:before="360" w:after="60" w:line="340" w:lineRule="atLeast"/>
      <w:ind w:left="850"/>
      <w:textAlignment w:val="center"/>
    </w:pPr>
    <w:rPr>
      <w:rFonts w:ascii="ITC Stone Sans Medium" w:eastAsia="Times New Roman" w:hAnsi="ITC Stone Sans Medium" w:cs="ITC Stone Sans Medium"/>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94C"/>
    <w:pPr>
      <w:ind w:left="720"/>
      <w:contextualSpacing/>
    </w:pPr>
  </w:style>
  <w:style w:type="paragraph" w:styleId="BalloonText">
    <w:name w:val="Balloon Text"/>
    <w:basedOn w:val="Normal"/>
    <w:link w:val="BalloonTextChar"/>
    <w:uiPriority w:val="99"/>
    <w:semiHidden/>
    <w:unhideWhenUsed/>
    <w:rsid w:val="00AA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D42"/>
    <w:rPr>
      <w:rFonts w:ascii="Tahoma" w:hAnsi="Tahoma" w:cs="Tahoma"/>
      <w:sz w:val="16"/>
      <w:szCs w:val="16"/>
    </w:rPr>
  </w:style>
  <w:style w:type="table" w:styleId="TableGrid">
    <w:name w:val="Table Grid"/>
    <w:basedOn w:val="TableNormal"/>
    <w:uiPriority w:val="59"/>
    <w:rsid w:val="00566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next w:val="Normal"/>
    <w:rsid w:val="005826EE"/>
    <w:pPr>
      <w:keepNext/>
      <w:spacing w:before="100" w:after="100" w:line="240" w:lineRule="auto"/>
      <w:outlineLvl w:val="3"/>
    </w:pPr>
    <w:rPr>
      <w:rFonts w:ascii="Times New Roman" w:eastAsia="Times New Roman" w:hAnsi="Times New Roman" w:cs="Times New Roman"/>
      <w:b/>
      <w:snapToGrid w:val="0"/>
      <w:sz w:val="28"/>
      <w:szCs w:val="20"/>
    </w:rPr>
  </w:style>
  <w:style w:type="paragraph" w:styleId="FootnoteText">
    <w:name w:val="footnote text"/>
    <w:basedOn w:val="Normal"/>
    <w:link w:val="FootnoteTextChar"/>
    <w:rsid w:val="001614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61476"/>
    <w:rPr>
      <w:rFonts w:ascii="Times New Roman" w:eastAsia="Times New Roman" w:hAnsi="Times New Roman" w:cs="Times New Roman"/>
      <w:sz w:val="20"/>
      <w:szCs w:val="20"/>
    </w:rPr>
  </w:style>
  <w:style w:type="character" w:styleId="FootnoteReference">
    <w:name w:val="footnote reference"/>
    <w:basedOn w:val="DefaultParagraphFont"/>
    <w:rsid w:val="00161476"/>
    <w:rPr>
      <w:vertAlign w:val="superscript"/>
    </w:rPr>
  </w:style>
  <w:style w:type="paragraph" w:styleId="EndnoteText">
    <w:name w:val="endnote text"/>
    <w:basedOn w:val="Normal"/>
    <w:link w:val="EndnoteTextChar"/>
    <w:uiPriority w:val="99"/>
    <w:semiHidden/>
    <w:unhideWhenUsed/>
    <w:rsid w:val="00BB1C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1C1C"/>
    <w:rPr>
      <w:sz w:val="20"/>
      <w:szCs w:val="20"/>
    </w:rPr>
  </w:style>
  <w:style w:type="character" w:styleId="EndnoteReference">
    <w:name w:val="endnote reference"/>
    <w:basedOn w:val="DefaultParagraphFont"/>
    <w:uiPriority w:val="99"/>
    <w:semiHidden/>
    <w:unhideWhenUsed/>
    <w:rsid w:val="00BB1C1C"/>
    <w:rPr>
      <w:vertAlign w:val="superscript"/>
    </w:rPr>
  </w:style>
  <w:style w:type="paragraph" w:styleId="Header">
    <w:name w:val="header"/>
    <w:basedOn w:val="Normal"/>
    <w:link w:val="HeaderChar"/>
    <w:unhideWhenUsed/>
    <w:rsid w:val="00FD5AE5"/>
    <w:pPr>
      <w:tabs>
        <w:tab w:val="center" w:pos="4680"/>
        <w:tab w:val="right" w:pos="9360"/>
      </w:tabs>
      <w:spacing w:after="0" w:line="240" w:lineRule="auto"/>
    </w:pPr>
  </w:style>
  <w:style w:type="character" w:customStyle="1" w:styleId="HeaderChar">
    <w:name w:val="Header Char"/>
    <w:basedOn w:val="DefaultParagraphFont"/>
    <w:link w:val="Header"/>
    <w:rsid w:val="00FD5AE5"/>
  </w:style>
  <w:style w:type="paragraph" w:styleId="Footer">
    <w:name w:val="footer"/>
    <w:basedOn w:val="Normal"/>
    <w:link w:val="FooterChar"/>
    <w:uiPriority w:val="99"/>
    <w:unhideWhenUsed/>
    <w:rsid w:val="00FD5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AE5"/>
  </w:style>
  <w:style w:type="character" w:customStyle="1" w:styleId="legds2">
    <w:name w:val="legds2"/>
    <w:basedOn w:val="DefaultParagraphFont"/>
    <w:rsid w:val="00F67A90"/>
    <w:rPr>
      <w:vanish w:val="0"/>
      <w:webHidden w:val="0"/>
      <w:specVanish w:val="0"/>
    </w:rPr>
  </w:style>
  <w:style w:type="character" w:styleId="CommentReference">
    <w:name w:val="annotation reference"/>
    <w:basedOn w:val="DefaultParagraphFont"/>
    <w:uiPriority w:val="99"/>
    <w:semiHidden/>
    <w:unhideWhenUsed/>
    <w:rsid w:val="00326953"/>
    <w:rPr>
      <w:sz w:val="16"/>
      <w:szCs w:val="16"/>
    </w:rPr>
  </w:style>
  <w:style w:type="paragraph" w:styleId="CommentText">
    <w:name w:val="annotation text"/>
    <w:basedOn w:val="Normal"/>
    <w:link w:val="CommentTextChar"/>
    <w:uiPriority w:val="99"/>
    <w:unhideWhenUsed/>
    <w:rsid w:val="00326953"/>
    <w:pPr>
      <w:spacing w:line="240" w:lineRule="auto"/>
    </w:pPr>
    <w:rPr>
      <w:sz w:val="20"/>
      <w:szCs w:val="20"/>
    </w:rPr>
  </w:style>
  <w:style w:type="character" w:customStyle="1" w:styleId="CommentTextChar">
    <w:name w:val="Comment Text Char"/>
    <w:basedOn w:val="DefaultParagraphFont"/>
    <w:link w:val="CommentText"/>
    <w:uiPriority w:val="99"/>
    <w:rsid w:val="00326953"/>
    <w:rPr>
      <w:sz w:val="20"/>
      <w:szCs w:val="20"/>
    </w:rPr>
  </w:style>
  <w:style w:type="paragraph" w:styleId="CommentSubject">
    <w:name w:val="annotation subject"/>
    <w:basedOn w:val="CommentText"/>
    <w:next w:val="CommentText"/>
    <w:link w:val="CommentSubjectChar"/>
    <w:uiPriority w:val="99"/>
    <w:semiHidden/>
    <w:unhideWhenUsed/>
    <w:rsid w:val="00326953"/>
    <w:rPr>
      <w:b/>
      <w:bCs/>
    </w:rPr>
  </w:style>
  <w:style w:type="character" w:customStyle="1" w:styleId="CommentSubjectChar">
    <w:name w:val="Comment Subject Char"/>
    <w:basedOn w:val="CommentTextChar"/>
    <w:link w:val="CommentSubject"/>
    <w:uiPriority w:val="99"/>
    <w:semiHidden/>
    <w:rsid w:val="00326953"/>
    <w:rPr>
      <w:b/>
      <w:bCs/>
      <w:sz w:val="20"/>
      <w:szCs w:val="20"/>
    </w:rPr>
  </w:style>
  <w:style w:type="numbering" w:customStyle="1" w:styleId="Style1">
    <w:name w:val="Style1"/>
    <w:uiPriority w:val="99"/>
    <w:rsid w:val="005E17B6"/>
    <w:pPr>
      <w:numPr>
        <w:numId w:val="7"/>
      </w:numPr>
    </w:pPr>
  </w:style>
  <w:style w:type="numbering" w:customStyle="1" w:styleId="1aetc">
    <w:name w:val="1.a etc"/>
    <w:uiPriority w:val="99"/>
    <w:rsid w:val="00472EE0"/>
    <w:pPr>
      <w:numPr>
        <w:numId w:val="8"/>
      </w:numPr>
    </w:pPr>
  </w:style>
  <w:style w:type="numbering" w:customStyle="1" w:styleId="Style2">
    <w:name w:val="Style2"/>
    <w:uiPriority w:val="99"/>
    <w:rsid w:val="005F39EE"/>
    <w:pPr>
      <w:numPr>
        <w:numId w:val="9"/>
      </w:numPr>
    </w:pPr>
  </w:style>
  <w:style w:type="paragraph" w:styleId="ListNumber">
    <w:name w:val="List Number"/>
    <w:basedOn w:val="Normal"/>
    <w:uiPriority w:val="99"/>
    <w:unhideWhenUsed/>
    <w:rsid w:val="005F39EE"/>
    <w:pPr>
      <w:numPr>
        <w:numId w:val="10"/>
      </w:numPr>
      <w:contextualSpacing/>
    </w:pPr>
  </w:style>
  <w:style w:type="paragraph" w:styleId="ListNumber2">
    <w:name w:val="List Number 2"/>
    <w:basedOn w:val="Normal"/>
    <w:uiPriority w:val="99"/>
    <w:unhideWhenUsed/>
    <w:rsid w:val="005F39EE"/>
    <w:pPr>
      <w:numPr>
        <w:ilvl w:val="1"/>
        <w:numId w:val="10"/>
      </w:numPr>
      <w:contextualSpacing/>
    </w:pPr>
  </w:style>
  <w:style w:type="numbering" w:customStyle="1" w:styleId="1astyle">
    <w:name w:val="1.a style"/>
    <w:uiPriority w:val="99"/>
    <w:rsid w:val="005F39EE"/>
    <w:pPr>
      <w:numPr>
        <w:numId w:val="10"/>
      </w:numPr>
    </w:pPr>
  </w:style>
  <w:style w:type="character" w:styleId="PlaceholderText">
    <w:name w:val="Placeholder Text"/>
    <w:basedOn w:val="DefaultParagraphFont"/>
    <w:uiPriority w:val="99"/>
    <w:semiHidden/>
    <w:rsid w:val="00AD241C"/>
    <w:rPr>
      <w:color w:val="808080"/>
    </w:rPr>
  </w:style>
  <w:style w:type="character" w:styleId="Hyperlink">
    <w:name w:val="Hyperlink"/>
    <w:basedOn w:val="DefaultParagraphFont"/>
    <w:unhideWhenUsed/>
    <w:rsid w:val="00310275"/>
    <w:rPr>
      <w:color w:val="0000FF" w:themeColor="hyperlink"/>
      <w:u w:val="single"/>
    </w:rPr>
  </w:style>
  <w:style w:type="character" w:styleId="FollowedHyperlink">
    <w:name w:val="FollowedHyperlink"/>
    <w:basedOn w:val="DefaultParagraphFont"/>
    <w:uiPriority w:val="99"/>
    <w:semiHidden/>
    <w:unhideWhenUsed/>
    <w:rsid w:val="00310275"/>
    <w:rPr>
      <w:color w:val="800080" w:themeColor="followedHyperlink"/>
      <w:u w:val="single"/>
    </w:rPr>
  </w:style>
  <w:style w:type="table" w:customStyle="1" w:styleId="TableGrid1">
    <w:name w:val="Table Grid1"/>
    <w:basedOn w:val="TableNormal"/>
    <w:next w:val="TableGrid"/>
    <w:uiPriority w:val="59"/>
    <w:rsid w:val="004B5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5FC3"/>
    <w:pPr>
      <w:spacing w:before="100" w:beforeAutospacing="1" w:after="150" w:line="240" w:lineRule="auto"/>
    </w:pPr>
    <w:rPr>
      <w:rFonts w:ascii="Times New Roman" w:eastAsia="Times New Roman" w:hAnsi="Times New Roman" w:cs="Times New Roman"/>
      <w:sz w:val="24"/>
      <w:szCs w:val="24"/>
    </w:rPr>
  </w:style>
  <w:style w:type="paragraph" w:customStyle="1" w:styleId="B1BodyText">
    <w:name w:val="B1 Body Text"/>
    <w:link w:val="B1BodyTextCharChar"/>
    <w:rsid w:val="004B5FC3"/>
    <w:pPr>
      <w:spacing w:before="120" w:after="180" w:line="320" w:lineRule="atLeast"/>
      <w:ind w:left="567"/>
    </w:pPr>
    <w:rPr>
      <w:rFonts w:ascii="Arial" w:eastAsia="Times New Roman" w:hAnsi="Arial" w:cs="ITC Stone Sans Std Medium"/>
      <w:color w:val="000000"/>
      <w:szCs w:val="24"/>
    </w:rPr>
  </w:style>
  <w:style w:type="character" w:customStyle="1" w:styleId="B1BodyTextCharChar">
    <w:name w:val="B1 Body Text Char Char"/>
    <w:basedOn w:val="DefaultParagraphFont"/>
    <w:link w:val="B1BodyText"/>
    <w:rsid w:val="004B5FC3"/>
    <w:rPr>
      <w:rFonts w:ascii="Arial" w:eastAsia="Times New Roman" w:hAnsi="Arial" w:cs="ITC Stone Sans Std Medium"/>
      <w:color w:val="000000"/>
      <w:szCs w:val="24"/>
    </w:rPr>
  </w:style>
  <w:style w:type="paragraph" w:customStyle="1" w:styleId="B1BodyTextNumbered">
    <w:name w:val="B1 Body Text Numbered"/>
    <w:basedOn w:val="B1BodyText"/>
    <w:rsid w:val="00EE0CCA"/>
    <w:pPr>
      <w:widowControl w:val="0"/>
      <w:tabs>
        <w:tab w:val="left" w:pos="850"/>
      </w:tabs>
      <w:suppressAutoHyphens/>
      <w:autoSpaceDE w:val="0"/>
      <w:autoSpaceDN w:val="0"/>
      <w:adjustRightInd w:val="0"/>
      <w:spacing w:before="60" w:after="120" w:line="340" w:lineRule="atLeast"/>
      <w:ind w:left="850" w:hanging="850"/>
      <w:textAlignment w:val="center"/>
    </w:pPr>
    <w:rPr>
      <w:rFonts w:ascii="ITC Franklin Gothic Book" w:hAnsi="ITC Franklin Gothic Book" w:cs="ITC Franklin Gothic Book"/>
      <w:sz w:val="28"/>
      <w:szCs w:val="28"/>
    </w:rPr>
  </w:style>
  <w:style w:type="paragraph" w:customStyle="1" w:styleId="B2BodyTextBullet1">
    <w:name w:val="B2 Body Text Bullet 1"/>
    <w:basedOn w:val="B1BodyText"/>
    <w:rsid w:val="00977FB0"/>
    <w:pPr>
      <w:widowControl w:val="0"/>
      <w:numPr>
        <w:numId w:val="30"/>
      </w:numPr>
      <w:tabs>
        <w:tab w:val="left" w:pos="850"/>
      </w:tabs>
      <w:suppressAutoHyphens/>
      <w:autoSpaceDE w:val="0"/>
      <w:autoSpaceDN w:val="0"/>
      <w:adjustRightInd w:val="0"/>
      <w:spacing w:before="0" w:after="120" w:line="340" w:lineRule="atLeast"/>
      <w:textAlignment w:val="center"/>
    </w:pPr>
    <w:rPr>
      <w:rFonts w:ascii="ITC Franklin Gothic Book" w:hAnsi="ITC Franklin Gothic Book" w:cs="ITC Franklin Gothic Book"/>
      <w:sz w:val="28"/>
      <w:szCs w:val="28"/>
    </w:rPr>
  </w:style>
  <w:style w:type="paragraph" w:customStyle="1" w:styleId="H3SubHeading">
    <w:name w:val="H3 Sub Heading"/>
    <w:basedOn w:val="Normal"/>
    <w:rsid w:val="00977FB0"/>
    <w:pPr>
      <w:keepNext/>
      <w:widowControl w:val="0"/>
      <w:tabs>
        <w:tab w:val="left" w:pos="850"/>
      </w:tabs>
      <w:suppressAutoHyphens/>
      <w:autoSpaceDE w:val="0"/>
      <w:autoSpaceDN w:val="0"/>
      <w:adjustRightInd w:val="0"/>
      <w:spacing w:before="360" w:after="60" w:line="340" w:lineRule="atLeast"/>
      <w:ind w:left="850"/>
      <w:textAlignment w:val="center"/>
    </w:pPr>
    <w:rPr>
      <w:rFonts w:ascii="ITC Stone Sans Medium" w:eastAsia="Times New Roman" w:hAnsi="ITC Stone Sans Medium" w:cs="ITC Stone Sans Medium"/>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924589">
      <w:bodyDiv w:val="1"/>
      <w:marLeft w:val="0"/>
      <w:marRight w:val="0"/>
      <w:marTop w:val="0"/>
      <w:marBottom w:val="0"/>
      <w:divBdr>
        <w:top w:val="none" w:sz="0" w:space="0" w:color="auto"/>
        <w:left w:val="none" w:sz="0" w:space="0" w:color="auto"/>
        <w:bottom w:val="none" w:sz="0" w:space="0" w:color="auto"/>
        <w:right w:val="none" w:sz="0" w:space="0" w:color="auto"/>
      </w:divBdr>
      <w:divsChild>
        <w:div w:id="4791588">
          <w:marLeft w:val="547"/>
          <w:marRight w:val="0"/>
          <w:marTop w:val="144"/>
          <w:marBottom w:val="0"/>
          <w:divBdr>
            <w:top w:val="none" w:sz="0" w:space="0" w:color="auto"/>
            <w:left w:val="none" w:sz="0" w:space="0" w:color="auto"/>
            <w:bottom w:val="none" w:sz="0" w:space="0" w:color="auto"/>
            <w:right w:val="none" w:sz="0" w:space="0" w:color="auto"/>
          </w:divBdr>
        </w:div>
      </w:divsChild>
    </w:div>
    <w:div w:id="672687549">
      <w:bodyDiv w:val="1"/>
      <w:marLeft w:val="0"/>
      <w:marRight w:val="0"/>
      <w:marTop w:val="0"/>
      <w:marBottom w:val="0"/>
      <w:divBdr>
        <w:top w:val="none" w:sz="0" w:space="0" w:color="auto"/>
        <w:left w:val="none" w:sz="0" w:space="0" w:color="auto"/>
        <w:bottom w:val="none" w:sz="0" w:space="0" w:color="auto"/>
        <w:right w:val="none" w:sz="0" w:space="0" w:color="auto"/>
      </w:divBdr>
    </w:div>
    <w:div w:id="676467708">
      <w:bodyDiv w:val="1"/>
      <w:marLeft w:val="0"/>
      <w:marRight w:val="0"/>
      <w:marTop w:val="0"/>
      <w:marBottom w:val="0"/>
      <w:divBdr>
        <w:top w:val="none" w:sz="0" w:space="0" w:color="auto"/>
        <w:left w:val="none" w:sz="0" w:space="0" w:color="auto"/>
        <w:bottom w:val="none" w:sz="0" w:space="0" w:color="auto"/>
        <w:right w:val="none" w:sz="0" w:space="0" w:color="auto"/>
      </w:divBdr>
      <w:divsChild>
        <w:div w:id="1918401479">
          <w:marLeft w:val="547"/>
          <w:marRight w:val="0"/>
          <w:marTop w:val="154"/>
          <w:marBottom w:val="0"/>
          <w:divBdr>
            <w:top w:val="none" w:sz="0" w:space="0" w:color="auto"/>
            <w:left w:val="none" w:sz="0" w:space="0" w:color="auto"/>
            <w:bottom w:val="none" w:sz="0" w:space="0" w:color="auto"/>
            <w:right w:val="none" w:sz="0" w:space="0" w:color="auto"/>
          </w:divBdr>
        </w:div>
      </w:divsChild>
    </w:div>
    <w:div w:id="744227118">
      <w:bodyDiv w:val="1"/>
      <w:marLeft w:val="0"/>
      <w:marRight w:val="0"/>
      <w:marTop w:val="0"/>
      <w:marBottom w:val="0"/>
      <w:divBdr>
        <w:top w:val="none" w:sz="0" w:space="0" w:color="auto"/>
        <w:left w:val="none" w:sz="0" w:space="0" w:color="auto"/>
        <w:bottom w:val="none" w:sz="0" w:space="0" w:color="auto"/>
        <w:right w:val="none" w:sz="0" w:space="0" w:color="auto"/>
      </w:divBdr>
      <w:divsChild>
        <w:div w:id="881750705">
          <w:marLeft w:val="547"/>
          <w:marRight w:val="0"/>
          <w:marTop w:val="154"/>
          <w:marBottom w:val="0"/>
          <w:divBdr>
            <w:top w:val="none" w:sz="0" w:space="0" w:color="auto"/>
            <w:left w:val="none" w:sz="0" w:space="0" w:color="auto"/>
            <w:bottom w:val="none" w:sz="0" w:space="0" w:color="auto"/>
            <w:right w:val="none" w:sz="0" w:space="0" w:color="auto"/>
          </w:divBdr>
        </w:div>
      </w:divsChild>
    </w:div>
    <w:div w:id="973831598">
      <w:bodyDiv w:val="1"/>
      <w:marLeft w:val="0"/>
      <w:marRight w:val="0"/>
      <w:marTop w:val="0"/>
      <w:marBottom w:val="0"/>
      <w:divBdr>
        <w:top w:val="none" w:sz="0" w:space="0" w:color="auto"/>
        <w:left w:val="none" w:sz="0" w:space="0" w:color="auto"/>
        <w:bottom w:val="none" w:sz="0" w:space="0" w:color="auto"/>
        <w:right w:val="none" w:sz="0" w:space="0" w:color="auto"/>
      </w:divBdr>
    </w:div>
    <w:div w:id="1154640651">
      <w:bodyDiv w:val="1"/>
      <w:marLeft w:val="0"/>
      <w:marRight w:val="0"/>
      <w:marTop w:val="0"/>
      <w:marBottom w:val="0"/>
      <w:divBdr>
        <w:top w:val="none" w:sz="0" w:space="0" w:color="auto"/>
        <w:left w:val="none" w:sz="0" w:space="0" w:color="auto"/>
        <w:bottom w:val="none" w:sz="0" w:space="0" w:color="auto"/>
        <w:right w:val="none" w:sz="0" w:space="0" w:color="auto"/>
      </w:divBdr>
    </w:div>
    <w:div w:id="1174078285">
      <w:bodyDiv w:val="1"/>
      <w:marLeft w:val="0"/>
      <w:marRight w:val="0"/>
      <w:marTop w:val="0"/>
      <w:marBottom w:val="0"/>
      <w:divBdr>
        <w:top w:val="none" w:sz="0" w:space="0" w:color="auto"/>
        <w:left w:val="none" w:sz="0" w:space="0" w:color="auto"/>
        <w:bottom w:val="none" w:sz="0" w:space="0" w:color="auto"/>
        <w:right w:val="none" w:sz="0" w:space="0" w:color="auto"/>
      </w:divBdr>
    </w:div>
    <w:div w:id="1242177576">
      <w:bodyDiv w:val="1"/>
      <w:marLeft w:val="0"/>
      <w:marRight w:val="0"/>
      <w:marTop w:val="0"/>
      <w:marBottom w:val="0"/>
      <w:divBdr>
        <w:top w:val="none" w:sz="0" w:space="0" w:color="auto"/>
        <w:left w:val="none" w:sz="0" w:space="0" w:color="auto"/>
        <w:bottom w:val="none" w:sz="0" w:space="0" w:color="auto"/>
        <w:right w:val="none" w:sz="0" w:space="0" w:color="auto"/>
      </w:divBdr>
    </w:div>
    <w:div w:id="1305039181">
      <w:bodyDiv w:val="1"/>
      <w:marLeft w:val="0"/>
      <w:marRight w:val="0"/>
      <w:marTop w:val="0"/>
      <w:marBottom w:val="0"/>
      <w:divBdr>
        <w:top w:val="none" w:sz="0" w:space="0" w:color="auto"/>
        <w:left w:val="none" w:sz="0" w:space="0" w:color="auto"/>
        <w:bottom w:val="none" w:sz="0" w:space="0" w:color="auto"/>
        <w:right w:val="none" w:sz="0" w:space="0" w:color="auto"/>
      </w:divBdr>
    </w:div>
    <w:div w:id="1453862300">
      <w:bodyDiv w:val="1"/>
      <w:marLeft w:val="0"/>
      <w:marRight w:val="0"/>
      <w:marTop w:val="0"/>
      <w:marBottom w:val="0"/>
      <w:divBdr>
        <w:top w:val="none" w:sz="0" w:space="0" w:color="auto"/>
        <w:left w:val="none" w:sz="0" w:space="0" w:color="auto"/>
        <w:bottom w:val="none" w:sz="0" w:space="0" w:color="auto"/>
        <w:right w:val="none" w:sz="0" w:space="0" w:color="auto"/>
      </w:divBdr>
      <w:divsChild>
        <w:div w:id="535429693">
          <w:marLeft w:val="547"/>
          <w:marRight w:val="0"/>
          <w:marTop w:val="154"/>
          <w:marBottom w:val="0"/>
          <w:divBdr>
            <w:top w:val="none" w:sz="0" w:space="0" w:color="auto"/>
            <w:left w:val="none" w:sz="0" w:space="0" w:color="auto"/>
            <w:bottom w:val="none" w:sz="0" w:space="0" w:color="auto"/>
            <w:right w:val="none" w:sz="0" w:space="0" w:color="auto"/>
          </w:divBdr>
        </w:div>
      </w:divsChild>
    </w:div>
    <w:div w:id="1461613029">
      <w:bodyDiv w:val="1"/>
      <w:marLeft w:val="0"/>
      <w:marRight w:val="0"/>
      <w:marTop w:val="0"/>
      <w:marBottom w:val="0"/>
      <w:divBdr>
        <w:top w:val="none" w:sz="0" w:space="0" w:color="auto"/>
        <w:left w:val="none" w:sz="0" w:space="0" w:color="auto"/>
        <w:bottom w:val="none" w:sz="0" w:space="0" w:color="auto"/>
        <w:right w:val="none" w:sz="0" w:space="0" w:color="auto"/>
      </w:divBdr>
    </w:div>
    <w:div w:id="1588072406">
      <w:bodyDiv w:val="1"/>
      <w:marLeft w:val="0"/>
      <w:marRight w:val="0"/>
      <w:marTop w:val="0"/>
      <w:marBottom w:val="0"/>
      <w:divBdr>
        <w:top w:val="none" w:sz="0" w:space="0" w:color="auto"/>
        <w:left w:val="none" w:sz="0" w:space="0" w:color="auto"/>
        <w:bottom w:val="none" w:sz="0" w:space="0" w:color="auto"/>
        <w:right w:val="none" w:sz="0" w:space="0" w:color="auto"/>
      </w:divBdr>
    </w:div>
    <w:div w:id="1870560194">
      <w:bodyDiv w:val="1"/>
      <w:marLeft w:val="0"/>
      <w:marRight w:val="0"/>
      <w:marTop w:val="0"/>
      <w:marBottom w:val="0"/>
      <w:divBdr>
        <w:top w:val="none" w:sz="0" w:space="0" w:color="auto"/>
        <w:left w:val="none" w:sz="0" w:space="0" w:color="auto"/>
        <w:bottom w:val="none" w:sz="0" w:space="0" w:color="auto"/>
        <w:right w:val="none" w:sz="0" w:space="0" w:color="auto"/>
      </w:divBdr>
    </w:div>
    <w:div w:id="1956520533">
      <w:bodyDiv w:val="1"/>
      <w:marLeft w:val="0"/>
      <w:marRight w:val="0"/>
      <w:marTop w:val="0"/>
      <w:marBottom w:val="0"/>
      <w:divBdr>
        <w:top w:val="none" w:sz="0" w:space="0" w:color="auto"/>
        <w:left w:val="none" w:sz="0" w:space="0" w:color="auto"/>
        <w:bottom w:val="none" w:sz="0" w:space="0" w:color="auto"/>
        <w:right w:val="none" w:sz="0" w:space="0" w:color="auto"/>
      </w:divBdr>
    </w:div>
    <w:div w:id="213898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00994-99EC-4454-AE5F-8516F884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2290</Words>
  <Characters>13053</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2015-06-23T09:34:00Z</dcterms:created>
  <dcterms:modified xsi:type="dcterms:W3CDTF">2015-06-23T09:34:00Z</dcterms:modified>
</cp:coreProperties>
</file>